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4D21" w14:textId="77777777" w:rsidR="00736BD4" w:rsidRPr="00635295" w:rsidRDefault="00736BD4" w:rsidP="00843A4E">
      <w:pPr>
        <w:jc w:val="center"/>
        <w:rPr>
          <w:rFonts w:ascii="Times New Roman" w:hAnsi="Times New Roman" w:cs="Times New Roman"/>
        </w:rPr>
      </w:pPr>
    </w:p>
    <w:p w14:paraId="43FA03E6" w14:textId="77777777" w:rsidR="00992F78" w:rsidRPr="00635295" w:rsidRDefault="00992F78" w:rsidP="00843A4E">
      <w:pPr>
        <w:jc w:val="center"/>
        <w:rPr>
          <w:rFonts w:ascii="Times New Roman" w:hAnsi="Times New Roman" w:cs="Times New Roman"/>
        </w:rPr>
      </w:pPr>
    </w:p>
    <w:p w14:paraId="69747893" w14:textId="77777777" w:rsidR="00992F78" w:rsidRPr="00635295" w:rsidRDefault="00992F78" w:rsidP="00843A4E">
      <w:pPr>
        <w:jc w:val="center"/>
        <w:rPr>
          <w:rFonts w:ascii="Times New Roman" w:hAnsi="Times New Roman" w:cs="Times New Roman"/>
        </w:rPr>
      </w:pPr>
    </w:p>
    <w:p w14:paraId="3442A06E" w14:textId="7B461D6B" w:rsidR="00992F78" w:rsidRPr="00635295" w:rsidRDefault="00232659" w:rsidP="00843A4E">
      <w:pPr>
        <w:jc w:val="center"/>
        <w:rPr>
          <w:rFonts w:ascii="Times New Roman" w:hAnsi="Times New Roman" w:cs="Times New Roman"/>
        </w:rPr>
      </w:pPr>
      <w:r>
        <w:rPr>
          <w:rFonts w:ascii="Times New Roman" w:hAnsi="Times New Roman" w:cs="Times New Roman"/>
          <w:noProof/>
        </w:rPr>
        <w:drawing>
          <wp:inline distT="0" distB="0" distL="0" distR="0" wp14:anchorId="4BE38735" wp14:editId="72C6E779">
            <wp:extent cx="4625340" cy="1387410"/>
            <wp:effectExtent l="0" t="0" r="3810" b="3810"/>
            <wp:docPr id="1866595598" name="Picture 3" descr="A black background with grey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95598" name="Picture 3" descr="A black background with grey text  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8911" cy="1391481"/>
                    </a:xfrm>
                    <a:prstGeom prst="rect">
                      <a:avLst/>
                    </a:prstGeom>
                  </pic:spPr>
                </pic:pic>
              </a:graphicData>
            </a:graphic>
          </wp:inline>
        </w:drawing>
      </w:r>
    </w:p>
    <w:p w14:paraId="7B116D8E" w14:textId="77777777" w:rsidR="00992F78" w:rsidRPr="00635295" w:rsidRDefault="00992F78" w:rsidP="00843A4E">
      <w:pPr>
        <w:jc w:val="center"/>
        <w:rPr>
          <w:rFonts w:ascii="Times New Roman" w:hAnsi="Times New Roman" w:cs="Times New Roman"/>
        </w:rPr>
      </w:pPr>
    </w:p>
    <w:p w14:paraId="66A4D95E" w14:textId="76E109E9" w:rsidR="00843A4E" w:rsidRPr="00635295" w:rsidRDefault="00843A4E" w:rsidP="00843A4E">
      <w:pPr>
        <w:jc w:val="center"/>
        <w:rPr>
          <w:rFonts w:ascii="Times New Roman" w:hAnsi="Times New Roman" w:cs="Times New Roman"/>
        </w:rPr>
      </w:pPr>
    </w:p>
    <w:p w14:paraId="5D33E3DB" w14:textId="31946A7B" w:rsidR="00843A4E" w:rsidRPr="00635295" w:rsidRDefault="00843A4E" w:rsidP="004549FC">
      <w:pPr>
        <w:ind w:firstLine="709"/>
        <w:jc w:val="both"/>
      </w:pPr>
    </w:p>
    <w:p w14:paraId="1EFE6B79" w14:textId="77777777" w:rsidR="00843A4E" w:rsidRPr="00635295" w:rsidRDefault="00843A4E" w:rsidP="00843A4E">
      <w:pPr>
        <w:ind w:firstLine="709"/>
        <w:jc w:val="both"/>
        <w:rPr>
          <w:rFonts w:ascii="Times New Roman" w:hAnsi="Times New Roman" w:cs="Times New Roman"/>
        </w:rPr>
      </w:pPr>
    </w:p>
    <w:p w14:paraId="216DD015" w14:textId="3279DAA4" w:rsidR="00C664DD" w:rsidRPr="00635295" w:rsidRDefault="009011D1" w:rsidP="092ADAC3">
      <w:pPr>
        <w:jc w:val="center"/>
        <w:rPr>
          <w:rFonts w:ascii="Times New Roman" w:hAnsi="Times New Roman" w:cs="Times New Roman"/>
          <w:b/>
          <w:bCs/>
          <w:sz w:val="28"/>
          <w:szCs w:val="28"/>
        </w:rPr>
      </w:pPr>
      <w:r w:rsidRPr="6E8609AE">
        <w:rPr>
          <w:rFonts w:ascii="Times New Roman" w:hAnsi="Times New Roman" w:cs="Times New Roman"/>
          <w:b/>
          <w:bCs/>
          <w:sz w:val="28"/>
          <w:szCs w:val="28"/>
        </w:rPr>
        <w:t>202</w:t>
      </w:r>
      <w:r>
        <w:rPr>
          <w:rFonts w:ascii="Times New Roman" w:hAnsi="Times New Roman" w:cs="Times New Roman"/>
          <w:b/>
          <w:bCs/>
          <w:sz w:val="28"/>
          <w:szCs w:val="28"/>
        </w:rPr>
        <w:t>5</w:t>
      </w:r>
      <w:r w:rsidRPr="6E8609AE">
        <w:rPr>
          <w:rFonts w:ascii="Times New Roman" w:hAnsi="Times New Roman" w:cs="Times New Roman"/>
          <w:b/>
          <w:bCs/>
          <w:sz w:val="28"/>
          <w:szCs w:val="28"/>
        </w:rPr>
        <w:t xml:space="preserve"> </w:t>
      </w:r>
      <w:r w:rsidR="00C664DD" w:rsidRPr="6E8609AE">
        <w:rPr>
          <w:rFonts w:ascii="Times New Roman" w:hAnsi="Times New Roman" w:cs="Times New Roman"/>
          <w:b/>
          <w:bCs/>
          <w:sz w:val="28"/>
          <w:szCs w:val="28"/>
        </w:rPr>
        <w:t>METŲ VEIKLOS ATASKAITA</w:t>
      </w:r>
    </w:p>
    <w:p w14:paraId="0CD48847" w14:textId="77777777" w:rsidR="00C664DD" w:rsidRPr="00635295" w:rsidRDefault="00C664DD" w:rsidP="00843A4E">
      <w:pPr>
        <w:jc w:val="center"/>
        <w:rPr>
          <w:rFonts w:ascii="Times New Roman" w:hAnsi="Times New Roman" w:cs="Times New Roman"/>
        </w:rPr>
      </w:pPr>
    </w:p>
    <w:p w14:paraId="507CCCAE" w14:textId="14C18F30" w:rsidR="00C664DD" w:rsidRDefault="00C664DD" w:rsidP="00843A4E">
      <w:pPr>
        <w:jc w:val="center"/>
        <w:rPr>
          <w:rFonts w:ascii="Times New Roman" w:hAnsi="Times New Roman" w:cs="Times New Roman"/>
        </w:rPr>
      </w:pPr>
    </w:p>
    <w:p w14:paraId="609EE1BA" w14:textId="4A468CBD" w:rsidR="00293124" w:rsidRDefault="00293124" w:rsidP="00843A4E">
      <w:pPr>
        <w:jc w:val="center"/>
        <w:rPr>
          <w:rFonts w:ascii="Times New Roman" w:hAnsi="Times New Roman" w:cs="Times New Roman"/>
        </w:rPr>
      </w:pPr>
    </w:p>
    <w:p w14:paraId="0F920548" w14:textId="6FE14DBB" w:rsidR="00293124" w:rsidRDefault="00293124" w:rsidP="00843A4E">
      <w:pPr>
        <w:jc w:val="center"/>
        <w:rPr>
          <w:rFonts w:ascii="Times New Roman" w:hAnsi="Times New Roman" w:cs="Times New Roman"/>
        </w:rPr>
      </w:pPr>
    </w:p>
    <w:p w14:paraId="316FF014" w14:textId="2E59ED88" w:rsidR="00293124" w:rsidRDefault="00293124" w:rsidP="00843A4E">
      <w:pPr>
        <w:jc w:val="center"/>
        <w:rPr>
          <w:rFonts w:ascii="Times New Roman" w:hAnsi="Times New Roman" w:cs="Times New Roman"/>
        </w:rPr>
      </w:pPr>
    </w:p>
    <w:p w14:paraId="4AFA5212" w14:textId="002B6A50" w:rsidR="00293124" w:rsidRDefault="00293124" w:rsidP="00843A4E">
      <w:pPr>
        <w:jc w:val="center"/>
        <w:rPr>
          <w:rFonts w:ascii="Times New Roman" w:hAnsi="Times New Roman" w:cs="Times New Roman"/>
        </w:rPr>
      </w:pPr>
    </w:p>
    <w:p w14:paraId="1C9A3683" w14:textId="632A02F3" w:rsidR="00293124" w:rsidRDefault="00293124" w:rsidP="00843A4E">
      <w:pPr>
        <w:jc w:val="center"/>
        <w:rPr>
          <w:rFonts w:ascii="Times New Roman" w:hAnsi="Times New Roman" w:cs="Times New Roman"/>
        </w:rPr>
      </w:pPr>
    </w:p>
    <w:p w14:paraId="5DC017D1" w14:textId="2D5E8A37" w:rsidR="00293124" w:rsidRDefault="00293124" w:rsidP="00843A4E">
      <w:pPr>
        <w:jc w:val="center"/>
        <w:rPr>
          <w:rFonts w:ascii="Times New Roman" w:hAnsi="Times New Roman" w:cs="Times New Roman"/>
        </w:rPr>
      </w:pPr>
    </w:p>
    <w:p w14:paraId="1EE918EE" w14:textId="6F6E17BB" w:rsidR="00293124" w:rsidRDefault="00293124" w:rsidP="00843A4E">
      <w:pPr>
        <w:jc w:val="center"/>
        <w:rPr>
          <w:rFonts w:ascii="Times New Roman" w:hAnsi="Times New Roman" w:cs="Times New Roman"/>
        </w:rPr>
      </w:pPr>
    </w:p>
    <w:p w14:paraId="6D9166C1" w14:textId="7E1FE3D5" w:rsidR="00293124" w:rsidRDefault="00293124" w:rsidP="00843A4E">
      <w:pPr>
        <w:jc w:val="center"/>
        <w:rPr>
          <w:rFonts w:ascii="Times New Roman" w:hAnsi="Times New Roman" w:cs="Times New Roman"/>
        </w:rPr>
      </w:pPr>
    </w:p>
    <w:p w14:paraId="28746DF9" w14:textId="15ABAC39" w:rsidR="00293124" w:rsidRDefault="00293124" w:rsidP="00843A4E">
      <w:pPr>
        <w:jc w:val="center"/>
        <w:rPr>
          <w:rFonts w:ascii="Times New Roman" w:hAnsi="Times New Roman" w:cs="Times New Roman"/>
        </w:rPr>
      </w:pPr>
    </w:p>
    <w:p w14:paraId="75FAB41C" w14:textId="2DDC9939" w:rsidR="00293124" w:rsidRDefault="00293124" w:rsidP="00843A4E">
      <w:pPr>
        <w:jc w:val="center"/>
        <w:rPr>
          <w:rFonts w:ascii="Times New Roman" w:hAnsi="Times New Roman" w:cs="Times New Roman"/>
        </w:rPr>
      </w:pPr>
    </w:p>
    <w:p w14:paraId="02EEEDB6" w14:textId="232215F7" w:rsidR="00293124" w:rsidRDefault="00293124" w:rsidP="00843A4E">
      <w:pPr>
        <w:jc w:val="center"/>
        <w:rPr>
          <w:rFonts w:ascii="Times New Roman" w:hAnsi="Times New Roman" w:cs="Times New Roman"/>
        </w:rPr>
      </w:pPr>
    </w:p>
    <w:p w14:paraId="6DB17D12" w14:textId="4D18124D" w:rsidR="00293124" w:rsidRDefault="00293124" w:rsidP="00843A4E">
      <w:pPr>
        <w:jc w:val="center"/>
        <w:rPr>
          <w:rFonts w:ascii="Times New Roman" w:hAnsi="Times New Roman" w:cs="Times New Roman"/>
        </w:rPr>
      </w:pPr>
    </w:p>
    <w:p w14:paraId="2F82EA11" w14:textId="4C5A5CB3" w:rsidR="00293124" w:rsidRDefault="00293124" w:rsidP="00843A4E">
      <w:pPr>
        <w:jc w:val="center"/>
        <w:rPr>
          <w:rFonts w:ascii="Times New Roman" w:hAnsi="Times New Roman" w:cs="Times New Roman"/>
        </w:rPr>
      </w:pPr>
    </w:p>
    <w:p w14:paraId="491CEB39" w14:textId="7578C9D6" w:rsidR="00293124" w:rsidRDefault="00293124" w:rsidP="00736BD4">
      <w:pPr>
        <w:rPr>
          <w:rFonts w:ascii="Times New Roman" w:hAnsi="Times New Roman" w:cs="Times New Roman"/>
        </w:rPr>
      </w:pPr>
    </w:p>
    <w:p w14:paraId="35E418AB" w14:textId="0A9330C4" w:rsidR="00293124" w:rsidRDefault="00293124" w:rsidP="00843A4E">
      <w:pPr>
        <w:jc w:val="center"/>
        <w:rPr>
          <w:rFonts w:ascii="Times New Roman" w:hAnsi="Times New Roman" w:cs="Times New Roman"/>
        </w:rPr>
      </w:pPr>
    </w:p>
    <w:p w14:paraId="4BC27E1C" w14:textId="7F6CC6C5" w:rsidR="00293124" w:rsidRDefault="00293124" w:rsidP="00843A4E">
      <w:pPr>
        <w:jc w:val="center"/>
        <w:rPr>
          <w:rFonts w:ascii="Times New Roman" w:hAnsi="Times New Roman" w:cs="Times New Roman"/>
        </w:rPr>
      </w:pPr>
    </w:p>
    <w:p w14:paraId="2521AF3F" w14:textId="77777777" w:rsidR="00293124" w:rsidRPr="00635295" w:rsidRDefault="00293124" w:rsidP="00843A4E">
      <w:pPr>
        <w:jc w:val="center"/>
        <w:rPr>
          <w:rFonts w:ascii="Times New Roman" w:hAnsi="Times New Roman" w:cs="Times New Roman"/>
        </w:rPr>
      </w:pPr>
    </w:p>
    <w:p w14:paraId="49B3B57A" w14:textId="77777777" w:rsidR="00C664DD" w:rsidRPr="00635295" w:rsidRDefault="00C664DD" w:rsidP="00843A4E">
      <w:pPr>
        <w:jc w:val="center"/>
        <w:rPr>
          <w:rFonts w:ascii="Times New Roman" w:hAnsi="Times New Roman" w:cs="Times New Roman"/>
        </w:rPr>
      </w:pPr>
      <w:r w:rsidRPr="092ADAC3">
        <w:rPr>
          <w:rFonts w:ascii="Times New Roman" w:hAnsi="Times New Roman" w:cs="Times New Roman"/>
        </w:rPr>
        <w:t>Vilnius</w:t>
      </w:r>
    </w:p>
    <w:p w14:paraId="0E45F43F" w14:textId="77777777" w:rsidR="00843A4E" w:rsidRPr="00635295" w:rsidRDefault="00843A4E" w:rsidP="00843A4E">
      <w:pPr>
        <w:rPr>
          <w:rFonts w:ascii="Times New Roman" w:hAnsi="Times New Roman" w:cs="Times New Roman"/>
        </w:rPr>
      </w:pPr>
      <w:r w:rsidRPr="0241BD3A">
        <w:rPr>
          <w:rFonts w:ascii="Times New Roman" w:hAnsi="Times New Roman" w:cs="Times New Roman"/>
        </w:rPr>
        <w:br w:type="page"/>
      </w:r>
    </w:p>
    <w:p w14:paraId="44ED6051" w14:textId="1DA6E284" w:rsidR="00C664DD" w:rsidRPr="00635295" w:rsidRDefault="6E7410E1" w:rsidP="004549FC">
      <w:pPr>
        <w:ind w:firstLine="709"/>
        <w:jc w:val="center"/>
        <w:rPr>
          <w:rFonts w:ascii="Times New Roman" w:eastAsia="Times New Roman" w:hAnsi="Times New Roman" w:cs="Times New Roman"/>
          <w:b/>
          <w:bCs/>
          <w:sz w:val="24"/>
          <w:szCs w:val="24"/>
        </w:rPr>
      </w:pPr>
      <w:r w:rsidRPr="0241BD3A">
        <w:rPr>
          <w:rFonts w:ascii="Times New Roman" w:eastAsia="Times New Roman" w:hAnsi="Times New Roman" w:cs="Times New Roman"/>
          <w:b/>
          <w:bCs/>
          <w:sz w:val="24"/>
          <w:szCs w:val="24"/>
        </w:rPr>
        <w:lastRenderedPageBreak/>
        <w:t xml:space="preserve">VADOVO PRANEŠIMAS </w:t>
      </w:r>
    </w:p>
    <w:p w14:paraId="49B5077D" w14:textId="4B74358F" w:rsidR="00C664DD" w:rsidRPr="00635295" w:rsidRDefault="6E7410E1" w:rsidP="007A5062">
      <w:pPr>
        <w:spacing w:line="276" w:lineRule="auto"/>
        <w:ind w:firstLine="709"/>
        <w:jc w:val="center"/>
        <w:rPr>
          <w:rFonts w:ascii="Times New Roman" w:eastAsia="Times New Roman" w:hAnsi="Times New Roman" w:cs="Times New Roman"/>
          <w:sz w:val="24"/>
          <w:szCs w:val="24"/>
        </w:rPr>
      </w:pPr>
      <w:r w:rsidRPr="0241BD3A">
        <w:rPr>
          <w:rFonts w:ascii="Times New Roman" w:eastAsia="Times New Roman" w:hAnsi="Times New Roman" w:cs="Times New Roman"/>
          <w:sz w:val="24"/>
          <w:szCs w:val="24"/>
        </w:rPr>
        <w:t xml:space="preserve"> </w:t>
      </w:r>
    </w:p>
    <w:p w14:paraId="029484E3" w14:textId="2231010A" w:rsidR="00A01D2A" w:rsidRPr="00232659" w:rsidRDefault="00311773" w:rsidP="00D96B15">
      <w:pPr>
        <w:pStyle w:val="Betarp"/>
        <w:spacing w:line="276" w:lineRule="auto"/>
        <w:ind w:firstLine="1298"/>
        <w:jc w:val="both"/>
        <w:rPr>
          <w:rFonts w:ascii="Times New Roman" w:hAnsi="Times New Roman" w:cs="Times New Roman"/>
          <w:sz w:val="24"/>
          <w:szCs w:val="24"/>
          <w:shd w:val="clear" w:color="auto" w:fill="FFFFFF"/>
        </w:rPr>
      </w:pPr>
      <w:r w:rsidRPr="00232659">
        <w:rPr>
          <w:rFonts w:ascii="Times New Roman" w:hAnsi="Times New Roman" w:cs="Times New Roman"/>
          <w:sz w:val="24"/>
          <w:szCs w:val="24"/>
          <w:shd w:val="clear" w:color="auto" w:fill="FFFFFF"/>
        </w:rPr>
        <w:t>Man svarbu ir kartu džiugu pristatyti Išteklių agentūros prie Lietuvos Respublikos vidaus reikalų ministerijos 2025 m. veiklos ataskaitą.</w:t>
      </w:r>
      <w:r w:rsidR="00324C57" w:rsidRPr="00232659">
        <w:rPr>
          <w:rFonts w:ascii="Times New Roman" w:hAnsi="Times New Roman" w:cs="Times New Roman"/>
          <w:sz w:val="24"/>
          <w:szCs w:val="24"/>
          <w:shd w:val="clear" w:color="auto" w:fill="FFFFFF"/>
        </w:rPr>
        <w:t xml:space="preserve"> </w:t>
      </w:r>
      <w:r w:rsidR="004D299A" w:rsidRPr="00232659">
        <w:rPr>
          <w:rFonts w:ascii="Times New Roman" w:hAnsi="Times New Roman" w:cs="Times New Roman"/>
          <w:sz w:val="24"/>
          <w:szCs w:val="24"/>
          <w:shd w:val="clear" w:color="auto" w:fill="FFFFFF"/>
        </w:rPr>
        <w:t xml:space="preserve">Įstaigos, kuri </w:t>
      </w:r>
      <w:r w:rsidR="00AE21C3" w:rsidRPr="00232659">
        <w:rPr>
          <w:rFonts w:ascii="Times New Roman" w:hAnsi="Times New Roman" w:cs="Times New Roman"/>
          <w:sz w:val="24"/>
          <w:szCs w:val="24"/>
        </w:rPr>
        <w:t>vidaus reikalų sistemos įstaigas aprūpina trumpalaikiu ir ilgalaikiu turtu bei transportu, centralizuotai vykdo viešuosius pirkimus, centralizuotai tvarko finansų ir turto apskaitą, valdo nekilnojamąjį turtą, specialaus statuso subjektus aprūpina ginklais, jų priedėliais, šaudmenimis ir jų dalimis.</w:t>
      </w:r>
    </w:p>
    <w:p w14:paraId="0D8A3818" w14:textId="4E5A042E" w:rsidR="00492816" w:rsidRPr="00232659" w:rsidRDefault="0778A426" w:rsidP="00D96B15">
      <w:pPr>
        <w:pStyle w:val="Betarp"/>
        <w:spacing w:line="276" w:lineRule="auto"/>
        <w:ind w:firstLine="1298"/>
        <w:jc w:val="both"/>
        <w:rPr>
          <w:rFonts w:ascii="Times New Roman" w:hAnsi="Times New Roman" w:cs="Times New Roman"/>
          <w:sz w:val="24"/>
          <w:szCs w:val="24"/>
          <w:shd w:val="clear" w:color="auto" w:fill="FFFFFF"/>
        </w:rPr>
      </w:pPr>
      <w:r w:rsidRPr="00232659">
        <w:rPr>
          <w:rFonts w:ascii="Times New Roman" w:hAnsi="Times New Roman" w:cs="Times New Roman"/>
          <w:sz w:val="24"/>
          <w:szCs w:val="24"/>
        </w:rPr>
        <w:t>2025</w:t>
      </w:r>
      <w:r w:rsidR="5A6C60BE" w:rsidRPr="00232659">
        <w:rPr>
          <w:rFonts w:ascii="Times New Roman" w:hAnsi="Times New Roman" w:cs="Times New Roman"/>
          <w:sz w:val="24"/>
          <w:szCs w:val="24"/>
        </w:rPr>
        <w:t xml:space="preserve"> m. kovo 1 d.</w:t>
      </w:r>
      <w:r w:rsidRPr="00232659">
        <w:rPr>
          <w:rFonts w:ascii="Times New Roman" w:hAnsi="Times New Roman" w:cs="Times New Roman"/>
          <w:sz w:val="24"/>
          <w:szCs w:val="24"/>
        </w:rPr>
        <w:t xml:space="preserve"> suėjo lygiai 1-eri metai, </w:t>
      </w:r>
      <w:r w:rsidR="5A6C60BE" w:rsidRPr="00232659">
        <w:rPr>
          <w:rFonts w:ascii="Times New Roman" w:hAnsi="Times New Roman" w:cs="Times New Roman"/>
          <w:sz w:val="24"/>
          <w:szCs w:val="24"/>
          <w:shd w:val="clear" w:color="auto" w:fill="FFFFFF"/>
        </w:rPr>
        <w:t>kuomet iš Turto valdymo ir ūkio departamento prie Lietuvos Respublikos vidaus reikalų ministerijos tapome Agentūra. Įstaiga</w:t>
      </w:r>
      <w:r w:rsidR="3E1A4BF3" w:rsidRPr="00232659">
        <w:rPr>
          <w:rFonts w:ascii="Times New Roman" w:hAnsi="Times New Roman" w:cs="Times New Roman"/>
          <w:sz w:val="24"/>
          <w:szCs w:val="24"/>
          <w:shd w:val="clear" w:color="auto" w:fill="FFFFFF"/>
        </w:rPr>
        <w:t xml:space="preserve"> – </w:t>
      </w:r>
      <w:r w:rsidR="5A6C60BE" w:rsidRPr="00232659">
        <w:rPr>
          <w:rFonts w:ascii="Times New Roman" w:hAnsi="Times New Roman" w:cs="Times New Roman"/>
          <w:sz w:val="24"/>
          <w:szCs w:val="24"/>
          <w:shd w:val="clear" w:color="auto" w:fill="FFFFFF"/>
        </w:rPr>
        <w:t xml:space="preserve">ne tik su nauju pavadinimu, bet ir su nauja jėga, kokybe, užsidegimu ir noru pasiekti dar daugiau. </w:t>
      </w:r>
    </w:p>
    <w:p w14:paraId="0B9C14B3" w14:textId="3C94BC94" w:rsidR="00D215A7" w:rsidRPr="00232659" w:rsidRDefault="001E3F00" w:rsidP="00D96B15">
      <w:pPr>
        <w:pStyle w:val="Betarp"/>
        <w:spacing w:line="276" w:lineRule="auto"/>
        <w:ind w:firstLine="1298"/>
        <w:jc w:val="both"/>
        <w:rPr>
          <w:rFonts w:ascii="Times New Roman" w:hAnsi="Times New Roman" w:cs="Times New Roman"/>
          <w:sz w:val="24"/>
          <w:szCs w:val="24"/>
        </w:rPr>
      </w:pPr>
      <w:r w:rsidRPr="00232659">
        <w:rPr>
          <w:rFonts w:ascii="Times New Roman" w:hAnsi="Times New Roman" w:cs="Times New Roman"/>
          <w:sz w:val="24"/>
          <w:szCs w:val="24"/>
          <w:shd w:val="clear" w:color="auto" w:fill="FFFFFF"/>
        </w:rPr>
        <w:t xml:space="preserve">Praėję metai nebuvo lengvi, tačiau Agentūra siekė maksimalių rezultatų, vykdydama kokybišką </w:t>
      </w:r>
      <w:r w:rsidRPr="00232659">
        <w:rPr>
          <w:rFonts w:ascii="Times New Roman" w:hAnsi="Times New Roman" w:cs="Times New Roman"/>
          <w:sz w:val="24"/>
          <w:szCs w:val="24"/>
        </w:rPr>
        <w:t>vidaus reikalų sistemos įstaigų aptarnavimą, centralizuotą viešųjų pirkimų ir finansų bei turto apskaitos atlikimą, aprūpinimą ginklais, jų priedėliais, šaudmenimis ir jų dalimis</w:t>
      </w:r>
      <w:r w:rsidR="00D215A7" w:rsidRPr="00232659">
        <w:rPr>
          <w:rFonts w:ascii="Times New Roman" w:hAnsi="Times New Roman" w:cs="Times New Roman"/>
          <w:sz w:val="24"/>
          <w:szCs w:val="24"/>
        </w:rPr>
        <w:t>, racionaliai naudodama valstybės išteklius.</w:t>
      </w:r>
    </w:p>
    <w:p w14:paraId="6FEAE9F6" w14:textId="01E1B955" w:rsidR="001E3F00" w:rsidRPr="00232659" w:rsidRDefault="00D215A7" w:rsidP="00D96B15">
      <w:pPr>
        <w:pStyle w:val="Betarp"/>
        <w:spacing w:line="276" w:lineRule="auto"/>
        <w:ind w:firstLine="1298"/>
        <w:jc w:val="both"/>
        <w:rPr>
          <w:rFonts w:ascii="Times New Roman" w:hAnsi="Times New Roman" w:cs="Times New Roman"/>
          <w:sz w:val="24"/>
          <w:szCs w:val="24"/>
        </w:rPr>
      </w:pPr>
      <w:r w:rsidRPr="00232659">
        <w:rPr>
          <w:rFonts w:ascii="Times New Roman" w:hAnsi="Times New Roman" w:cs="Times New Roman"/>
          <w:sz w:val="24"/>
          <w:szCs w:val="24"/>
        </w:rPr>
        <w:t xml:space="preserve">Nepaprastai didžiuojuosi savo komanda. Ji tvirta, brandi, ambicinga, todėl drąsu planuoti ir kelti sau aukštus tikslus. Padarėme, kas buvo suplanuota, o kai kuriose srityse ir dar daugiau. Dalis darbų yra tęstiniai, jų rezultatus matysime tik 2026-aisiais ar vėliau. </w:t>
      </w:r>
    </w:p>
    <w:p w14:paraId="4B8FB623" w14:textId="2573AD33" w:rsidR="00EE0365" w:rsidRPr="00232659" w:rsidRDefault="00EE0365" w:rsidP="00D96B15">
      <w:pPr>
        <w:pStyle w:val="Betarp"/>
        <w:spacing w:line="276" w:lineRule="auto"/>
        <w:ind w:firstLine="1298"/>
        <w:jc w:val="both"/>
        <w:rPr>
          <w:rFonts w:ascii="Times New Roman" w:hAnsi="Times New Roman" w:cs="Times New Roman"/>
          <w:sz w:val="24"/>
          <w:szCs w:val="24"/>
        </w:rPr>
      </w:pPr>
      <w:r w:rsidRPr="00232659">
        <w:rPr>
          <w:rFonts w:ascii="Times New Roman" w:hAnsi="Times New Roman" w:cs="Times New Roman"/>
          <w:sz w:val="24"/>
          <w:szCs w:val="24"/>
          <w:shd w:val="clear" w:color="auto" w:fill="FFFFFF"/>
        </w:rPr>
        <w:t>Pernai įgyvendinti Agentūros struktūriniai pokyčiai davė pirmuosius teigiamus rezultatus, todėl buvo svarbu stebėti, palaikyti, patobulinti, pakoreguoti, bet leisti tinkamai įsibėgėti procesams.</w:t>
      </w:r>
    </w:p>
    <w:p w14:paraId="43982E9C" w14:textId="6E5F2AE8" w:rsidR="001E3F00" w:rsidRPr="00232659" w:rsidRDefault="52D0C572" w:rsidP="00D96B15">
      <w:pPr>
        <w:pStyle w:val="Betarp"/>
        <w:spacing w:line="276" w:lineRule="auto"/>
        <w:ind w:firstLine="1298"/>
        <w:jc w:val="both"/>
        <w:rPr>
          <w:rFonts w:ascii="Times New Roman" w:hAnsi="Times New Roman" w:cs="Times New Roman"/>
          <w:sz w:val="24"/>
          <w:szCs w:val="24"/>
        </w:rPr>
      </w:pPr>
      <w:r w:rsidRPr="00232659">
        <w:rPr>
          <w:rStyle w:val="fontsizemediumplus"/>
          <w:rFonts w:ascii="Times New Roman" w:hAnsi="Times New Roman" w:cs="Times New Roman"/>
          <w:sz w:val="24"/>
          <w:szCs w:val="24"/>
        </w:rPr>
        <w:t>Metų pradžioje Gynybos išteklių skyriaus kolegos įgyvendino dar buvusios Lietuvos Respublikos vidaus reikalų ministerijos vadovybės pavedimą ir Ukrainos mokyklas aprūpino 100 metalo detektorių-vartelių.</w:t>
      </w:r>
      <w:r w:rsidRPr="00232659">
        <w:rPr>
          <w:rFonts w:ascii="Times New Roman" w:hAnsi="Times New Roman" w:cs="Times New Roman"/>
          <w:sz w:val="24"/>
          <w:szCs w:val="24"/>
        </w:rPr>
        <w:t xml:space="preserve"> </w:t>
      </w:r>
      <w:r w:rsidRPr="00232659">
        <w:rPr>
          <w:rStyle w:val="fontsizemediumplus"/>
          <w:rFonts w:ascii="Times New Roman" w:hAnsi="Times New Roman" w:cs="Times New Roman"/>
          <w:sz w:val="24"/>
          <w:szCs w:val="24"/>
        </w:rPr>
        <w:t>Ši maždaug 300000 eurų vertės parama prisidės prie kariaujančios šalies mokyklose besimokančių moksleivių, mokytojų ir tėvų saugumo.</w:t>
      </w:r>
    </w:p>
    <w:p w14:paraId="3C6AC632" w14:textId="53FDEA16" w:rsidR="001E3F00" w:rsidRPr="00232659" w:rsidRDefault="2E622CEA" w:rsidP="003C21AF">
      <w:pPr>
        <w:pStyle w:val="nospacingabove"/>
        <w:shd w:val="clear" w:color="auto" w:fill="FFFFFF" w:themeFill="background1"/>
        <w:spacing w:before="0" w:beforeAutospacing="0" w:after="0" w:afterAutospacing="0" w:line="276" w:lineRule="auto"/>
        <w:ind w:firstLine="1298"/>
        <w:jc w:val="both"/>
        <w:rPr>
          <w:sz w:val="27"/>
          <w:szCs w:val="27"/>
        </w:rPr>
      </w:pPr>
      <w:r w:rsidRPr="00232659">
        <w:rPr>
          <w:rStyle w:val="fontsizemediumplus"/>
        </w:rPr>
        <w:t>2025-aiais</w:t>
      </w:r>
      <w:r w:rsidR="52D0C572" w:rsidRPr="00232659">
        <w:rPr>
          <w:rStyle w:val="fontsizemediumplus"/>
        </w:rPr>
        <w:t xml:space="preserve"> kaip niekad anksčiau surengėme didelį kiekį ginkluotės ir</w:t>
      </w:r>
      <w:r w:rsidRPr="00232659">
        <w:rPr>
          <w:rStyle w:val="fontsizemediumplus"/>
        </w:rPr>
        <w:t xml:space="preserve"> </w:t>
      </w:r>
      <w:r w:rsidR="52D0C572" w:rsidRPr="00232659">
        <w:rPr>
          <w:rStyle w:val="fontsizemediumplus"/>
        </w:rPr>
        <w:t>amunicijos produktų pristatymų specialaus statuso subjektams.</w:t>
      </w:r>
      <w:r w:rsidR="00232659" w:rsidRPr="00232659">
        <w:rPr>
          <w:rStyle w:val="fontsizemediumplus"/>
        </w:rPr>
        <w:t xml:space="preserve"> </w:t>
      </w:r>
      <w:r w:rsidR="52D0C572" w:rsidRPr="00232659">
        <w:rPr>
          <w:rStyle w:val="fontsizemediumplus"/>
        </w:rPr>
        <w:t xml:space="preserve">Tęsiame, mano supratimu, labai svarbią misiją </w:t>
      </w:r>
      <w:r w:rsidRPr="00232659">
        <w:rPr>
          <w:rStyle w:val="fontsizemediumplus"/>
        </w:rPr>
        <w:t xml:space="preserve">– </w:t>
      </w:r>
      <w:r w:rsidR="52D0C572" w:rsidRPr="00232659">
        <w:rPr>
          <w:rStyle w:val="fontsizemediumplus"/>
        </w:rPr>
        <w:t>šviesti ir mokyti tarnybas bei jų specialistus. Ir, žinoma, tobulėti patiems.</w:t>
      </w:r>
    </w:p>
    <w:p w14:paraId="044435C2" w14:textId="2999B4CC" w:rsidR="001E3F00" w:rsidRPr="00232659" w:rsidRDefault="00CE7C40" w:rsidP="00D96B15">
      <w:pPr>
        <w:pStyle w:val="nospacingabove"/>
        <w:shd w:val="clear" w:color="auto" w:fill="FFFFFF"/>
        <w:spacing w:before="0" w:beforeAutospacing="0" w:after="0" w:afterAutospacing="0" w:line="276" w:lineRule="auto"/>
        <w:ind w:firstLine="1298"/>
        <w:jc w:val="both"/>
        <w:rPr>
          <w:shd w:val="clear" w:color="auto" w:fill="FFFFFF"/>
        </w:rPr>
      </w:pPr>
      <w:r w:rsidRPr="00232659">
        <w:rPr>
          <w:rStyle w:val="fontsizemediumplus"/>
        </w:rPr>
        <w:t xml:space="preserve">Metai buvo gausūs įvairiais renginiais, konferencijomis ir parodomis, kuriose dalyvavome. Daugiausiai tai susiję su gynybos ir saugumo temomis, tačiau nemažą dėmesį skyrėme įvairiems profesiniams, įvairių grandžių vadovų mokymams bei viešiesiems pirkimams, pvz. pirmą kartą </w:t>
      </w:r>
      <w:r w:rsidR="002E6538" w:rsidRPr="00232659">
        <w:rPr>
          <w:rStyle w:val="fontsizemediumplus"/>
        </w:rPr>
        <w:t xml:space="preserve">Agentūros specialistai </w:t>
      </w:r>
      <w:r w:rsidRPr="00232659">
        <w:rPr>
          <w:rStyle w:val="fontsizemediumplus"/>
        </w:rPr>
        <w:t>dalyvavo Ekonominio bendradarbiavimo ir plėtros organizacijos (EBPO/OECD) surengtoje tarptautinėje konferencijoje Paryžiuje.</w:t>
      </w:r>
    </w:p>
    <w:p w14:paraId="06C0C345" w14:textId="37C09AF4" w:rsidR="005730C5" w:rsidRPr="00232659" w:rsidRDefault="00CE7C40" w:rsidP="00D96B15">
      <w:pPr>
        <w:pStyle w:val="Betarp"/>
        <w:spacing w:line="276" w:lineRule="auto"/>
        <w:jc w:val="both"/>
      </w:pPr>
      <w:r w:rsidRPr="00232659">
        <w:rPr>
          <w:rFonts w:ascii="Segoe UI" w:hAnsi="Segoe UI" w:cs="Segoe UI"/>
          <w:shd w:val="clear" w:color="auto" w:fill="FFFFFF"/>
        </w:rPr>
        <w:tab/>
      </w:r>
      <w:r w:rsidR="008E1299" w:rsidRPr="00232659">
        <w:rPr>
          <w:rFonts w:ascii="Times New Roman" w:hAnsi="Times New Roman" w:cs="Times New Roman"/>
          <w:sz w:val="24"/>
          <w:szCs w:val="24"/>
          <w:shd w:val="clear" w:color="auto" w:fill="FFFFFF"/>
        </w:rPr>
        <w:t xml:space="preserve">Esu labai dėkingas visiems </w:t>
      </w:r>
      <w:r w:rsidR="005D6331" w:rsidRPr="00232659">
        <w:rPr>
          <w:rFonts w:ascii="Times New Roman" w:hAnsi="Times New Roman" w:cs="Times New Roman"/>
          <w:sz w:val="24"/>
          <w:szCs w:val="24"/>
          <w:shd w:val="clear" w:color="auto" w:fill="FFFFFF"/>
        </w:rPr>
        <w:t>Agentūros</w:t>
      </w:r>
      <w:r w:rsidR="008E1299" w:rsidRPr="00232659">
        <w:rPr>
          <w:rFonts w:ascii="Times New Roman" w:hAnsi="Times New Roman" w:cs="Times New Roman"/>
          <w:sz w:val="24"/>
          <w:szCs w:val="24"/>
          <w:shd w:val="clear" w:color="auto" w:fill="FFFFFF"/>
        </w:rPr>
        <w:t xml:space="preserve"> </w:t>
      </w:r>
      <w:r w:rsidR="005D6331" w:rsidRPr="00232659">
        <w:rPr>
          <w:rFonts w:ascii="Times New Roman" w:hAnsi="Times New Roman" w:cs="Times New Roman"/>
          <w:sz w:val="24"/>
          <w:szCs w:val="24"/>
          <w:shd w:val="clear" w:color="auto" w:fill="FFFFFF"/>
        </w:rPr>
        <w:t>darbuotojams</w:t>
      </w:r>
      <w:r w:rsidR="008E1299" w:rsidRPr="00232659">
        <w:rPr>
          <w:rFonts w:ascii="Times New Roman" w:hAnsi="Times New Roman" w:cs="Times New Roman"/>
          <w:sz w:val="24"/>
          <w:szCs w:val="24"/>
          <w:shd w:val="clear" w:color="auto" w:fill="FFFFFF"/>
        </w:rPr>
        <w:t>,</w:t>
      </w:r>
      <w:r w:rsidR="005D6331" w:rsidRPr="00232659">
        <w:rPr>
          <w:rFonts w:ascii="Times New Roman" w:hAnsi="Times New Roman" w:cs="Times New Roman"/>
          <w:sz w:val="24"/>
          <w:szCs w:val="24"/>
          <w:shd w:val="clear" w:color="auto" w:fill="FFFFFF"/>
        </w:rPr>
        <w:t xml:space="preserve"> </w:t>
      </w:r>
      <w:r w:rsidR="008E1299" w:rsidRPr="00232659">
        <w:rPr>
          <w:rFonts w:ascii="Times New Roman" w:hAnsi="Times New Roman" w:cs="Times New Roman"/>
          <w:sz w:val="24"/>
          <w:szCs w:val="24"/>
          <w:shd w:val="clear" w:color="auto" w:fill="FFFFFF"/>
        </w:rPr>
        <w:t>institucijoms, su kuriomis dirbame</w:t>
      </w:r>
      <w:r w:rsidR="005D6331" w:rsidRPr="00232659">
        <w:rPr>
          <w:rFonts w:ascii="Times New Roman" w:hAnsi="Times New Roman" w:cs="Times New Roman"/>
          <w:sz w:val="24"/>
          <w:szCs w:val="24"/>
          <w:shd w:val="clear" w:color="auto" w:fill="FFFFFF"/>
        </w:rPr>
        <w:t>,</w:t>
      </w:r>
      <w:r w:rsidR="008E1299" w:rsidRPr="00232659">
        <w:rPr>
          <w:rFonts w:ascii="Times New Roman" w:hAnsi="Times New Roman" w:cs="Times New Roman"/>
          <w:sz w:val="24"/>
          <w:szCs w:val="24"/>
          <w:shd w:val="clear" w:color="auto" w:fill="FFFFFF"/>
        </w:rPr>
        <w:t xml:space="preserve"> įmonėms ir visiems, su kuriais kiekvieną</w:t>
      </w:r>
      <w:r w:rsidR="005D6331" w:rsidRPr="00232659">
        <w:rPr>
          <w:rFonts w:ascii="Times New Roman" w:hAnsi="Times New Roman" w:cs="Times New Roman"/>
          <w:sz w:val="24"/>
          <w:szCs w:val="24"/>
          <w:shd w:val="clear" w:color="auto" w:fill="FFFFFF"/>
        </w:rPr>
        <w:t xml:space="preserve"> </w:t>
      </w:r>
      <w:r w:rsidR="008E1299" w:rsidRPr="00232659">
        <w:rPr>
          <w:rFonts w:ascii="Times New Roman" w:hAnsi="Times New Roman" w:cs="Times New Roman"/>
          <w:sz w:val="24"/>
          <w:szCs w:val="24"/>
          <w:shd w:val="clear" w:color="auto" w:fill="FFFFFF"/>
        </w:rPr>
        <w:t xml:space="preserve">dieną pasitinkame iššūkius ir bendradarbiaudami juos įveikiame. Tai, kad man patikėta vesti </w:t>
      </w:r>
      <w:r w:rsidR="005D6331" w:rsidRPr="00232659">
        <w:rPr>
          <w:rFonts w:ascii="Times New Roman" w:hAnsi="Times New Roman" w:cs="Times New Roman"/>
          <w:sz w:val="24"/>
          <w:szCs w:val="24"/>
          <w:shd w:val="clear" w:color="auto" w:fill="FFFFFF"/>
        </w:rPr>
        <w:t>Agentūrą</w:t>
      </w:r>
      <w:r w:rsidR="008E1299" w:rsidRPr="00232659">
        <w:rPr>
          <w:rFonts w:ascii="Times New Roman" w:hAnsi="Times New Roman" w:cs="Times New Roman"/>
          <w:sz w:val="24"/>
          <w:szCs w:val="24"/>
          <w:shd w:val="clear" w:color="auto" w:fill="FFFFFF"/>
        </w:rPr>
        <w:t xml:space="preserve"> dar 5-erius metus, laikau</w:t>
      </w:r>
      <w:r w:rsidR="005D6331" w:rsidRPr="00232659">
        <w:rPr>
          <w:rFonts w:ascii="Times New Roman" w:hAnsi="Times New Roman" w:cs="Times New Roman"/>
          <w:sz w:val="24"/>
          <w:szCs w:val="24"/>
          <w:shd w:val="clear" w:color="auto" w:fill="FFFFFF"/>
        </w:rPr>
        <w:t xml:space="preserve"> </w:t>
      </w:r>
      <w:r w:rsidR="008E1299" w:rsidRPr="00232659">
        <w:rPr>
          <w:rFonts w:ascii="Times New Roman" w:hAnsi="Times New Roman" w:cs="Times New Roman"/>
          <w:sz w:val="24"/>
          <w:szCs w:val="24"/>
          <w:shd w:val="clear" w:color="auto" w:fill="FFFFFF"/>
        </w:rPr>
        <w:t>visos komandos įvertinimu.</w:t>
      </w:r>
      <w:r w:rsidR="005D6331" w:rsidRPr="00232659">
        <w:rPr>
          <w:rFonts w:ascii="Times New Roman" w:hAnsi="Times New Roman" w:cs="Times New Roman"/>
          <w:sz w:val="24"/>
          <w:szCs w:val="24"/>
          <w:shd w:val="clear" w:color="auto" w:fill="FFFFFF"/>
        </w:rPr>
        <w:t xml:space="preserve"> </w:t>
      </w:r>
      <w:r w:rsidR="008E1299" w:rsidRPr="00232659">
        <w:rPr>
          <w:rFonts w:ascii="Times New Roman" w:hAnsi="Times New Roman" w:cs="Times New Roman"/>
          <w:sz w:val="24"/>
          <w:szCs w:val="24"/>
          <w:shd w:val="clear" w:color="auto" w:fill="FFFFFF"/>
        </w:rPr>
        <w:t>Viliuosi, kad ši ataskaita Jums bus įdomi ir</w:t>
      </w:r>
      <w:r w:rsidR="005D6331" w:rsidRPr="00232659">
        <w:rPr>
          <w:rFonts w:ascii="Times New Roman" w:hAnsi="Times New Roman" w:cs="Times New Roman"/>
          <w:sz w:val="24"/>
          <w:szCs w:val="24"/>
          <w:shd w:val="clear" w:color="auto" w:fill="FFFFFF"/>
        </w:rPr>
        <w:t xml:space="preserve"> </w:t>
      </w:r>
      <w:r w:rsidR="008E1299" w:rsidRPr="00232659">
        <w:rPr>
          <w:rFonts w:ascii="Times New Roman" w:hAnsi="Times New Roman" w:cs="Times New Roman"/>
          <w:sz w:val="24"/>
          <w:szCs w:val="24"/>
          <w:shd w:val="clear" w:color="auto" w:fill="FFFFFF"/>
        </w:rPr>
        <w:t xml:space="preserve">padės artimiau pažinti </w:t>
      </w:r>
      <w:r w:rsidR="005D6331" w:rsidRPr="00232659">
        <w:rPr>
          <w:rFonts w:ascii="Times New Roman" w:hAnsi="Times New Roman" w:cs="Times New Roman"/>
          <w:sz w:val="24"/>
          <w:szCs w:val="24"/>
          <w:shd w:val="clear" w:color="auto" w:fill="FFFFFF"/>
        </w:rPr>
        <w:t>Agentūros</w:t>
      </w:r>
      <w:r w:rsidR="008E1299" w:rsidRPr="00232659">
        <w:rPr>
          <w:rFonts w:ascii="Times New Roman" w:hAnsi="Times New Roman" w:cs="Times New Roman"/>
          <w:sz w:val="24"/>
          <w:szCs w:val="24"/>
          <w:shd w:val="clear" w:color="auto" w:fill="FFFFFF"/>
        </w:rPr>
        <w:t xml:space="preserve"> veiklą.</w:t>
      </w:r>
    </w:p>
    <w:p w14:paraId="245DBFDA" w14:textId="444AB3C2" w:rsidR="00C664DD" w:rsidRPr="00232659" w:rsidRDefault="00E17FBE" w:rsidP="002E6538">
      <w:pPr>
        <w:spacing w:line="276" w:lineRule="auto"/>
        <w:ind w:firstLine="709"/>
        <w:jc w:val="both"/>
        <w:rPr>
          <w:rFonts w:ascii="Times New Roman" w:eastAsia="Times New Roman" w:hAnsi="Times New Roman" w:cs="Times New Roman"/>
          <w:sz w:val="24"/>
          <w:szCs w:val="24"/>
        </w:rPr>
      </w:pPr>
      <w:r w:rsidRPr="00232659">
        <w:rPr>
          <w:rFonts w:ascii="Times New Roman" w:eastAsia="Times New Roman" w:hAnsi="Times New Roman" w:cs="Times New Roman"/>
          <w:sz w:val="24"/>
          <w:szCs w:val="24"/>
        </w:rPr>
        <w:t xml:space="preserve">Tikiu </w:t>
      </w:r>
      <w:r w:rsidR="6E7410E1" w:rsidRPr="00232659">
        <w:rPr>
          <w:rFonts w:ascii="Times New Roman" w:eastAsia="Times New Roman" w:hAnsi="Times New Roman" w:cs="Times New Roman"/>
          <w:sz w:val="24"/>
          <w:szCs w:val="24"/>
        </w:rPr>
        <w:t xml:space="preserve">ir </w:t>
      </w:r>
      <w:r w:rsidRPr="00232659">
        <w:rPr>
          <w:rFonts w:ascii="Times New Roman" w:eastAsia="Times New Roman" w:hAnsi="Times New Roman" w:cs="Times New Roman"/>
          <w:sz w:val="24"/>
          <w:szCs w:val="24"/>
        </w:rPr>
        <w:t>siekiu</w:t>
      </w:r>
      <w:r w:rsidR="6E7410E1" w:rsidRPr="00232659">
        <w:rPr>
          <w:rFonts w:ascii="Times New Roman" w:eastAsia="Times New Roman" w:hAnsi="Times New Roman" w:cs="Times New Roman"/>
          <w:sz w:val="24"/>
          <w:szCs w:val="24"/>
        </w:rPr>
        <w:t xml:space="preserve">, kad </w:t>
      </w:r>
      <w:r w:rsidRPr="00232659">
        <w:rPr>
          <w:rFonts w:ascii="Times New Roman" w:eastAsia="Times New Roman" w:hAnsi="Times New Roman" w:cs="Times New Roman"/>
          <w:sz w:val="24"/>
          <w:szCs w:val="24"/>
        </w:rPr>
        <w:t xml:space="preserve">Agentūrai </w:t>
      </w:r>
      <w:r w:rsidR="6E7410E1" w:rsidRPr="00232659">
        <w:rPr>
          <w:rFonts w:ascii="Times New Roman" w:eastAsia="Times New Roman" w:hAnsi="Times New Roman" w:cs="Times New Roman"/>
          <w:sz w:val="24"/>
          <w:szCs w:val="24"/>
        </w:rPr>
        <w:t xml:space="preserve">iškelti tikslai, nauji uždaviniai ir pradėti vykdyti projektai sėkmingai bus įgyvendinami ir vykdomi </w:t>
      </w:r>
      <w:r w:rsidR="005730C5" w:rsidRPr="00232659">
        <w:rPr>
          <w:rFonts w:ascii="Times New Roman" w:eastAsia="Times New Roman" w:hAnsi="Times New Roman" w:cs="Times New Roman"/>
          <w:sz w:val="24"/>
          <w:szCs w:val="24"/>
        </w:rPr>
        <w:t xml:space="preserve">2026 </w:t>
      </w:r>
      <w:r w:rsidR="6E7410E1" w:rsidRPr="00232659">
        <w:rPr>
          <w:rFonts w:ascii="Times New Roman" w:eastAsia="Times New Roman" w:hAnsi="Times New Roman" w:cs="Times New Roman"/>
          <w:sz w:val="24"/>
          <w:szCs w:val="24"/>
        </w:rPr>
        <w:t xml:space="preserve">metais. </w:t>
      </w:r>
    </w:p>
    <w:p w14:paraId="655A0433" w14:textId="7E016D01" w:rsidR="00C664DD" w:rsidRPr="00635295" w:rsidRDefault="6E7410E1" w:rsidP="007A5062">
      <w:pPr>
        <w:spacing w:line="276" w:lineRule="auto"/>
        <w:ind w:firstLine="709"/>
        <w:jc w:val="both"/>
        <w:rPr>
          <w:rFonts w:ascii="Times New Roman" w:eastAsia="Times New Roman" w:hAnsi="Times New Roman" w:cs="Times New Roman"/>
          <w:sz w:val="24"/>
          <w:szCs w:val="24"/>
        </w:rPr>
      </w:pPr>
      <w:r w:rsidRPr="0241BD3A">
        <w:rPr>
          <w:rFonts w:ascii="Times New Roman" w:eastAsia="Times New Roman" w:hAnsi="Times New Roman" w:cs="Times New Roman"/>
          <w:sz w:val="24"/>
          <w:szCs w:val="24"/>
        </w:rPr>
        <w:t xml:space="preserve"> </w:t>
      </w:r>
    </w:p>
    <w:tbl>
      <w:tblPr>
        <w:tblW w:w="0" w:type="auto"/>
        <w:tblLayout w:type="fixed"/>
        <w:tblLook w:val="04A0" w:firstRow="1" w:lastRow="0" w:firstColumn="1" w:lastColumn="0" w:noHBand="0" w:noVBand="1"/>
      </w:tblPr>
      <w:tblGrid>
        <w:gridCol w:w="4814"/>
        <w:gridCol w:w="4814"/>
      </w:tblGrid>
      <w:tr w:rsidR="0241BD3A" w14:paraId="7B89C143" w14:textId="77777777" w:rsidTr="0241BD3A">
        <w:trPr>
          <w:trHeight w:val="300"/>
        </w:trPr>
        <w:tc>
          <w:tcPr>
            <w:tcW w:w="4814" w:type="dxa"/>
            <w:tcMar>
              <w:left w:w="108" w:type="dxa"/>
              <w:right w:w="108" w:type="dxa"/>
            </w:tcMar>
          </w:tcPr>
          <w:p w14:paraId="2EC0969B" w14:textId="510888BB" w:rsidR="0241BD3A" w:rsidRDefault="0241BD3A" w:rsidP="004549FC">
            <w:pPr>
              <w:jc w:val="both"/>
              <w:rPr>
                <w:rFonts w:ascii="Times New Roman" w:eastAsia="Times New Roman" w:hAnsi="Times New Roman" w:cs="Times New Roman"/>
                <w:sz w:val="24"/>
                <w:szCs w:val="24"/>
              </w:rPr>
            </w:pPr>
            <w:r w:rsidRPr="0241BD3A">
              <w:rPr>
                <w:rFonts w:ascii="Times New Roman" w:eastAsia="Times New Roman" w:hAnsi="Times New Roman" w:cs="Times New Roman"/>
                <w:sz w:val="24"/>
                <w:szCs w:val="24"/>
              </w:rPr>
              <w:t>Direktorius</w:t>
            </w:r>
          </w:p>
        </w:tc>
        <w:tc>
          <w:tcPr>
            <w:tcW w:w="4814" w:type="dxa"/>
            <w:tcMar>
              <w:left w:w="108" w:type="dxa"/>
              <w:right w:w="108" w:type="dxa"/>
            </w:tcMar>
          </w:tcPr>
          <w:p w14:paraId="3D20CFA9" w14:textId="2EA2B111" w:rsidR="0241BD3A" w:rsidRDefault="0241BD3A" w:rsidP="004549FC">
            <w:pPr>
              <w:jc w:val="right"/>
              <w:rPr>
                <w:rFonts w:ascii="Times New Roman" w:eastAsia="Times New Roman" w:hAnsi="Times New Roman" w:cs="Times New Roman"/>
                <w:sz w:val="24"/>
                <w:szCs w:val="24"/>
              </w:rPr>
            </w:pPr>
            <w:r w:rsidRPr="0241BD3A">
              <w:rPr>
                <w:rFonts w:ascii="Times New Roman" w:eastAsia="Times New Roman" w:hAnsi="Times New Roman" w:cs="Times New Roman"/>
                <w:sz w:val="24"/>
                <w:szCs w:val="24"/>
              </w:rPr>
              <w:t>Giedrius Griška</w:t>
            </w:r>
          </w:p>
        </w:tc>
      </w:tr>
    </w:tbl>
    <w:p w14:paraId="708F8E71" w14:textId="289A3E9B" w:rsidR="00C664DD" w:rsidRPr="00635295" w:rsidRDefault="6E7410E1" w:rsidP="004549FC">
      <w:pPr>
        <w:jc w:val="center"/>
        <w:rPr>
          <w:rFonts w:ascii="Aptos" w:eastAsia="Aptos" w:hAnsi="Aptos" w:cs="Aptos"/>
          <w:sz w:val="24"/>
          <w:szCs w:val="24"/>
        </w:rPr>
      </w:pPr>
      <w:r w:rsidRPr="0241BD3A">
        <w:rPr>
          <w:rFonts w:ascii="Aptos" w:eastAsia="Aptos" w:hAnsi="Aptos" w:cs="Aptos"/>
          <w:sz w:val="24"/>
          <w:szCs w:val="24"/>
        </w:rPr>
        <w:t xml:space="preserve"> </w:t>
      </w:r>
    </w:p>
    <w:p w14:paraId="54655CC1" w14:textId="341740F5" w:rsidR="0013193F" w:rsidRDefault="00F8118E" w:rsidP="00F8118E">
      <w:pPr>
        <w:jc w:val="center"/>
        <w:rPr>
          <w:rFonts w:ascii="Times New Roman" w:hAnsi="Times New Roman" w:cs="Times New Roman"/>
          <w:b/>
          <w:bCs/>
        </w:rPr>
      </w:pPr>
      <w:r>
        <w:rPr>
          <w:rFonts w:ascii="Times New Roman" w:hAnsi="Times New Roman" w:cs="Times New Roman"/>
          <w:b/>
          <w:bCs/>
        </w:rPr>
        <w:br w:type="page"/>
      </w:r>
      <w:r w:rsidR="0013193F" w:rsidRPr="092ADAC3">
        <w:rPr>
          <w:rFonts w:ascii="Times New Roman" w:hAnsi="Times New Roman" w:cs="Times New Roman"/>
          <w:b/>
          <w:bCs/>
        </w:rPr>
        <w:lastRenderedPageBreak/>
        <w:t>I SKYRIUS</w:t>
      </w:r>
    </w:p>
    <w:p w14:paraId="4FA44668" w14:textId="0B603DA2" w:rsidR="00D93183" w:rsidRDefault="00D93183" w:rsidP="092ADAC3">
      <w:pPr>
        <w:ind w:firstLine="709"/>
        <w:jc w:val="center"/>
        <w:rPr>
          <w:rFonts w:ascii="Times New Roman" w:hAnsi="Times New Roman" w:cs="Times New Roman"/>
          <w:b/>
          <w:bCs/>
        </w:rPr>
      </w:pPr>
      <w:r w:rsidRPr="567EC346">
        <w:rPr>
          <w:rFonts w:ascii="Times New Roman" w:hAnsi="Times New Roman" w:cs="Times New Roman"/>
          <w:b/>
          <w:bCs/>
        </w:rPr>
        <w:t>STRATEGINI</w:t>
      </w:r>
      <w:r w:rsidR="49D545BD" w:rsidRPr="567EC346">
        <w:rPr>
          <w:rFonts w:ascii="Times New Roman" w:hAnsi="Times New Roman" w:cs="Times New Roman"/>
          <w:b/>
          <w:bCs/>
        </w:rPr>
        <w:t xml:space="preserve">O VEIKLOS PLANO PROGRAMŲ STRATEGINIŲ </w:t>
      </w:r>
      <w:r w:rsidRPr="567EC346">
        <w:rPr>
          <w:rFonts w:ascii="Times New Roman" w:hAnsi="Times New Roman" w:cs="Times New Roman"/>
          <w:b/>
          <w:bCs/>
        </w:rPr>
        <w:t xml:space="preserve"> IR VEIKLOS TIKSLŲ ĮGYVENDINIMAS</w:t>
      </w:r>
    </w:p>
    <w:p w14:paraId="6C2DEC01" w14:textId="77777777" w:rsidR="00D93183" w:rsidRPr="00635295" w:rsidRDefault="00D93183" w:rsidP="092ADAC3">
      <w:pPr>
        <w:ind w:firstLine="709"/>
        <w:jc w:val="center"/>
        <w:rPr>
          <w:rFonts w:ascii="Times New Roman" w:hAnsi="Times New Roman" w:cs="Times New Roman"/>
          <w:b/>
          <w:bCs/>
        </w:rPr>
      </w:pPr>
    </w:p>
    <w:p w14:paraId="38C3D59B" w14:textId="7EAD3602" w:rsidR="0013193F" w:rsidRPr="00635295" w:rsidRDefault="0013193F" w:rsidP="092ADAC3">
      <w:pPr>
        <w:spacing w:line="240" w:lineRule="auto"/>
        <w:ind w:firstLine="709"/>
        <w:jc w:val="center"/>
        <w:rPr>
          <w:rFonts w:ascii="Times New Roman" w:hAnsi="Times New Roman" w:cs="Times New Roman"/>
          <w:b/>
          <w:bCs/>
        </w:rPr>
      </w:pPr>
      <w:r w:rsidRPr="092ADAC3">
        <w:rPr>
          <w:rFonts w:ascii="Times New Roman" w:hAnsi="Times New Roman" w:cs="Times New Roman"/>
          <w:b/>
          <w:bCs/>
        </w:rPr>
        <w:t>LIETUVOS RESPUBLIKOS VIDAUS REIKALŲ MINISTRUI PAVESTŲ VALDYMO SRIČIŲ 202</w:t>
      </w:r>
      <w:r w:rsidR="00255244">
        <w:rPr>
          <w:rFonts w:ascii="Times New Roman" w:hAnsi="Times New Roman" w:cs="Times New Roman"/>
          <w:b/>
          <w:bCs/>
        </w:rPr>
        <w:t>5</w:t>
      </w:r>
      <w:r w:rsidRPr="092ADAC3">
        <w:rPr>
          <w:rFonts w:ascii="Times New Roman" w:hAnsi="Times New Roman" w:cs="Times New Roman"/>
          <w:b/>
          <w:bCs/>
        </w:rPr>
        <w:t>–202</w:t>
      </w:r>
      <w:r w:rsidR="00255244">
        <w:rPr>
          <w:rFonts w:ascii="Times New Roman" w:hAnsi="Times New Roman" w:cs="Times New Roman"/>
          <w:b/>
          <w:bCs/>
        </w:rPr>
        <w:t>7</w:t>
      </w:r>
      <w:r w:rsidRPr="092ADAC3">
        <w:rPr>
          <w:rFonts w:ascii="Times New Roman" w:hAnsi="Times New Roman" w:cs="Times New Roman"/>
          <w:b/>
          <w:bCs/>
        </w:rPr>
        <w:t xml:space="preserve"> METŲ STRATEGINIO VEIKLOS PLANO PROGRAMOS 01-001 „VIDAUS REIKALŲ MINISTRUI PAVESTŲ VALDYMO SRIČIŲ POLITIKOS FORMAVIMAS IR VIDAUS REIKALŲ INFRASTRUKTŪROS BEI PASLAUGŲ VALDYMAS“</w:t>
      </w:r>
    </w:p>
    <w:p w14:paraId="4BE65CDF" w14:textId="77777777" w:rsidR="003D173F" w:rsidRDefault="003D173F" w:rsidP="092ADAC3">
      <w:pPr>
        <w:suppressAutoHyphens/>
        <w:spacing w:line="240" w:lineRule="auto"/>
        <w:jc w:val="center"/>
        <w:textAlignment w:val="baseline"/>
        <w:rPr>
          <w:rFonts w:ascii="Times New Roman" w:hAnsi="Times New Roman" w:cs="Times New Roman"/>
          <w:b/>
          <w:bCs/>
          <w:lang w:eastAsia="lt-LT"/>
        </w:rPr>
      </w:pPr>
      <w:r w:rsidRPr="092ADAC3">
        <w:rPr>
          <w:rFonts w:ascii="Times New Roman" w:hAnsi="Times New Roman" w:cs="Times New Roman"/>
          <w:b/>
          <w:bCs/>
        </w:rPr>
        <w:t xml:space="preserve">VEIKLOS TIKSLO </w:t>
      </w:r>
      <w:r w:rsidR="004F690C" w:rsidRPr="092ADAC3">
        <w:rPr>
          <w:rFonts w:ascii="Times New Roman" w:hAnsi="Times New Roman" w:cs="Times New Roman"/>
          <w:b/>
          <w:bCs/>
        </w:rPr>
        <w:t xml:space="preserve">01-001-12 </w:t>
      </w:r>
      <w:r w:rsidRPr="092ADAC3">
        <w:rPr>
          <w:rFonts w:ascii="Times New Roman" w:hAnsi="Times New Roman" w:cs="Times New Roman"/>
          <w:b/>
          <w:bCs/>
        </w:rPr>
        <w:t>„PLĖTOTI VIDAUS REIKALŲ INFRASTRUKTŪRĄ IR PASLAUGAS“ ĮGYVENDINIMAS</w:t>
      </w:r>
    </w:p>
    <w:p w14:paraId="5F85AE60" w14:textId="77777777" w:rsidR="0013193F" w:rsidRPr="003D173F" w:rsidRDefault="0013193F" w:rsidP="092ADAC3">
      <w:pPr>
        <w:suppressAutoHyphens/>
        <w:spacing w:line="240" w:lineRule="auto"/>
        <w:jc w:val="center"/>
        <w:textAlignment w:val="baseline"/>
        <w:rPr>
          <w:rFonts w:ascii="Times New Roman" w:hAnsi="Times New Roman" w:cs="Times New Roman"/>
          <w:b/>
          <w:bCs/>
          <w:lang w:eastAsia="lt-LT"/>
        </w:rPr>
      </w:pPr>
    </w:p>
    <w:p w14:paraId="267F9123" w14:textId="77777777" w:rsidR="003D173F" w:rsidRPr="003F008C" w:rsidRDefault="004F690C" w:rsidP="092ADAC3">
      <w:pPr>
        <w:ind w:hanging="284"/>
        <w:rPr>
          <w:rFonts w:ascii="Times New Roman" w:hAnsi="Times New Roman" w:cs="Times New Roman"/>
          <w:b/>
          <w:bCs/>
          <w:sz w:val="24"/>
          <w:szCs w:val="24"/>
          <w:highlight w:val="lightGray"/>
        </w:rPr>
      </w:pPr>
      <w:r w:rsidRPr="003F008C">
        <w:rPr>
          <w:rFonts w:ascii="Times New Roman" w:hAnsi="Times New Roman" w:cs="Times New Roman"/>
          <w:b/>
          <w:bCs/>
          <w:sz w:val="24"/>
          <w:szCs w:val="24"/>
          <w:highlight w:val="lightGray"/>
        </w:rPr>
        <w:t>1 lentelė. Veiklos tikslo „</w:t>
      </w:r>
      <w:r w:rsidR="004725CE" w:rsidRPr="003F008C">
        <w:rPr>
          <w:rFonts w:ascii="Times New Roman" w:hAnsi="Times New Roman" w:cs="Times New Roman"/>
          <w:b/>
          <w:bCs/>
          <w:sz w:val="24"/>
          <w:szCs w:val="24"/>
          <w:highlight w:val="lightGray"/>
        </w:rPr>
        <w:t xml:space="preserve">Plėtoti vidaus reikalų infrastruktūrą ir paslaugas“ poveikio rodiklis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134"/>
        <w:gridCol w:w="850"/>
        <w:gridCol w:w="851"/>
        <w:gridCol w:w="850"/>
        <w:gridCol w:w="1134"/>
        <w:gridCol w:w="1276"/>
        <w:gridCol w:w="1276"/>
      </w:tblGrid>
      <w:tr w:rsidR="001A7857" w14:paraId="0C274E33" w14:textId="77777777" w:rsidTr="070233B9">
        <w:trPr>
          <w:trHeight w:val="1030"/>
        </w:trPr>
        <w:tc>
          <w:tcPr>
            <w:tcW w:w="2836" w:type="dxa"/>
            <w:vMerge w:val="restart"/>
            <w:shd w:val="clear" w:color="auto" w:fill="DBE5F1"/>
            <w:vAlign w:val="center"/>
          </w:tcPr>
          <w:p w14:paraId="06EFB3A6" w14:textId="77777777" w:rsidR="003D173F" w:rsidRPr="00753EAC" w:rsidRDefault="003D173F" w:rsidP="092ADAC3">
            <w:pPr>
              <w:spacing w:line="240" w:lineRule="auto"/>
              <w:jc w:val="center"/>
              <w:rPr>
                <w:rFonts w:ascii="Times New Roman" w:eastAsia="Calibri" w:hAnsi="Times New Roman" w:cs="Times New Roman"/>
                <w:b/>
                <w:bCs/>
                <w:color w:val="000000"/>
              </w:rPr>
            </w:pPr>
            <w:r w:rsidRPr="092ADAC3">
              <w:rPr>
                <w:rFonts w:ascii="Times New Roman" w:eastAsia="Calibri" w:hAnsi="Times New Roman" w:cs="Times New Roman"/>
                <w:b/>
                <w:bCs/>
                <w:color w:val="000000" w:themeColor="text1"/>
              </w:rPr>
              <w:t>Poveikio rodiklis (matavimo vienetai)</w:t>
            </w:r>
          </w:p>
        </w:tc>
        <w:tc>
          <w:tcPr>
            <w:tcW w:w="1134" w:type="dxa"/>
            <w:vMerge w:val="restart"/>
            <w:shd w:val="clear" w:color="auto" w:fill="DBE5F1"/>
            <w:vAlign w:val="center"/>
          </w:tcPr>
          <w:p w14:paraId="34CBA92B" w14:textId="77777777" w:rsidR="003D173F" w:rsidRPr="00753EAC" w:rsidRDefault="003D173F" w:rsidP="092ADAC3">
            <w:pPr>
              <w:spacing w:line="240" w:lineRule="auto"/>
              <w:jc w:val="center"/>
              <w:rPr>
                <w:rFonts w:ascii="Times New Roman" w:eastAsia="Calibri" w:hAnsi="Times New Roman" w:cs="Times New Roman"/>
                <w:b/>
                <w:bCs/>
                <w:color w:val="000000"/>
              </w:rPr>
            </w:pPr>
            <w:r w:rsidRPr="092ADAC3">
              <w:rPr>
                <w:rFonts w:ascii="Times New Roman" w:eastAsia="Calibri" w:hAnsi="Times New Roman" w:cs="Times New Roman"/>
                <w:b/>
                <w:bCs/>
                <w:color w:val="000000" w:themeColor="text1"/>
              </w:rPr>
              <w:t>Pradinė poveikio rodiklio reikšmė (metai)</w:t>
            </w:r>
          </w:p>
        </w:tc>
        <w:tc>
          <w:tcPr>
            <w:tcW w:w="2551" w:type="dxa"/>
            <w:gridSpan w:val="3"/>
            <w:shd w:val="clear" w:color="auto" w:fill="DBE5F1"/>
            <w:vAlign w:val="center"/>
          </w:tcPr>
          <w:p w14:paraId="0425A380" w14:textId="77777777" w:rsidR="003D173F" w:rsidRPr="00753EAC" w:rsidRDefault="003D173F" w:rsidP="092ADAC3">
            <w:pPr>
              <w:spacing w:line="240" w:lineRule="auto"/>
              <w:jc w:val="center"/>
              <w:rPr>
                <w:rFonts w:ascii="Times New Roman" w:eastAsia="Calibri" w:hAnsi="Times New Roman" w:cs="Times New Roman"/>
                <w:b/>
                <w:bCs/>
                <w:color w:val="000000"/>
              </w:rPr>
            </w:pPr>
            <w:r w:rsidRPr="092ADAC3">
              <w:rPr>
                <w:rFonts w:ascii="Times New Roman" w:eastAsia="Calibri" w:hAnsi="Times New Roman" w:cs="Times New Roman"/>
                <w:b/>
                <w:bCs/>
                <w:color w:val="000000" w:themeColor="text1"/>
              </w:rPr>
              <w:t>Faktinės poveikio rodiklio reikšmės</w:t>
            </w:r>
          </w:p>
        </w:tc>
        <w:tc>
          <w:tcPr>
            <w:tcW w:w="1134" w:type="dxa"/>
            <w:vMerge w:val="restart"/>
            <w:shd w:val="clear" w:color="auto" w:fill="DBE5F1"/>
            <w:vAlign w:val="center"/>
          </w:tcPr>
          <w:p w14:paraId="32FE26EA" w14:textId="77777777" w:rsidR="003D173F" w:rsidRPr="00753EAC" w:rsidRDefault="003D173F" w:rsidP="092ADAC3">
            <w:pPr>
              <w:spacing w:line="240" w:lineRule="auto"/>
              <w:jc w:val="center"/>
              <w:rPr>
                <w:rFonts w:ascii="Times New Roman" w:eastAsia="Calibri" w:hAnsi="Times New Roman" w:cs="Times New Roman"/>
                <w:b/>
                <w:bCs/>
                <w:color w:val="000000"/>
              </w:rPr>
            </w:pPr>
            <w:r w:rsidRPr="092ADAC3">
              <w:rPr>
                <w:rFonts w:ascii="Times New Roman" w:eastAsia="Calibri" w:hAnsi="Times New Roman" w:cs="Times New Roman"/>
                <w:b/>
                <w:bCs/>
                <w:color w:val="000000" w:themeColor="text1"/>
              </w:rPr>
              <w:t xml:space="preserve">Siektina poveikio rodiklio reikšmė </w:t>
            </w:r>
          </w:p>
          <w:p w14:paraId="5B27A870" w14:textId="244CF458" w:rsidR="003D173F" w:rsidRPr="00753EAC" w:rsidRDefault="0046380A" w:rsidP="092ADAC3">
            <w:pPr>
              <w:spacing w:line="240" w:lineRule="auto"/>
              <w:jc w:val="center"/>
              <w:rPr>
                <w:rFonts w:ascii="Times New Roman" w:eastAsia="Calibri" w:hAnsi="Times New Roman" w:cs="Times New Roman"/>
                <w:b/>
                <w:bCs/>
                <w:color w:val="000000"/>
              </w:rPr>
            </w:pPr>
            <w:r w:rsidRPr="567EC346">
              <w:rPr>
                <w:rFonts w:ascii="Times New Roman" w:eastAsia="Calibri" w:hAnsi="Times New Roman" w:cs="Times New Roman"/>
                <w:b/>
                <w:bCs/>
                <w:color w:val="000000" w:themeColor="text1"/>
              </w:rPr>
              <w:t>202</w:t>
            </w:r>
            <w:r>
              <w:rPr>
                <w:rFonts w:ascii="Times New Roman" w:eastAsia="Calibri" w:hAnsi="Times New Roman" w:cs="Times New Roman"/>
                <w:b/>
                <w:bCs/>
                <w:color w:val="000000" w:themeColor="text1"/>
              </w:rPr>
              <w:t xml:space="preserve">5 </w:t>
            </w:r>
            <w:r w:rsidR="757D33C1" w:rsidRPr="567EC346">
              <w:rPr>
                <w:rFonts w:ascii="Times New Roman" w:eastAsia="Calibri" w:hAnsi="Times New Roman" w:cs="Times New Roman"/>
                <w:b/>
                <w:bCs/>
                <w:color w:val="000000" w:themeColor="text1"/>
              </w:rPr>
              <w:t>metai</w:t>
            </w:r>
          </w:p>
        </w:tc>
        <w:tc>
          <w:tcPr>
            <w:tcW w:w="2552" w:type="dxa"/>
            <w:gridSpan w:val="2"/>
            <w:shd w:val="clear" w:color="auto" w:fill="DBE5F1"/>
            <w:vAlign w:val="center"/>
          </w:tcPr>
          <w:p w14:paraId="1B75AAD4" w14:textId="77777777" w:rsidR="003D173F" w:rsidRPr="00753EAC" w:rsidRDefault="003D173F" w:rsidP="092ADAC3">
            <w:pPr>
              <w:spacing w:line="240" w:lineRule="auto"/>
              <w:ind w:right="317"/>
              <w:jc w:val="center"/>
              <w:rPr>
                <w:rFonts w:ascii="Times New Roman" w:eastAsia="Calibri" w:hAnsi="Times New Roman" w:cs="Times New Roman"/>
                <w:b/>
                <w:bCs/>
                <w:color w:val="000000"/>
              </w:rPr>
            </w:pPr>
            <w:r w:rsidRPr="092ADAC3">
              <w:rPr>
                <w:rFonts w:ascii="Times New Roman" w:eastAsia="Calibri" w:hAnsi="Times New Roman" w:cs="Times New Roman"/>
                <w:b/>
                <w:bCs/>
                <w:color w:val="000000" w:themeColor="text1"/>
              </w:rPr>
              <w:t>Nacionaliniame pažangos plane nustatytos siektinos poveikio rodiklio reikšmės</w:t>
            </w:r>
          </w:p>
        </w:tc>
      </w:tr>
      <w:tr w:rsidR="00BF64F5" w14:paraId="5F66A04B" w14:textId="77777777" w:rsidTr="070233B9">
        <w:trPr>
          <w:trHeight w:val="400"/>
        </w:trPr>
        <w:tc>
          <w:tcPr>
            <w:tcW w:w="2836" w:type="dxa"/>
            <w:vMerge/>
            <w:vAlign w:val="center"/>
          </w:tcPr>
          <w:p w14:paraId="5AEFC36E" w14:textId="77777777" w:rsidR="003D173F" w:rsidRPr="00753EAC" w:rsidRDefault="003D173F" w:rsidP="004F690C">
            <w:pPr>
              <w:spacing w:line="240" w:lineRule="auto"/>
              <w:jc w:val="center"/>
              <w:rPr>
                <w:rFonts w:ascii="Times New Roman" w:eastAsia="Calibri" w:hAnsi="Times New Roman" w:cs="Times New Roman"/>
                <w:b/>
                <w:color w:val="000000"/>
              </w:rPr>
            </w:pPr>
          </w:p>
        </w:tc>
        <w:tc>
          <w:tcPr>
            <w:tcW w:w="1134" w:type="dxa"/>
            <w:vMerge/>
            <w:vAlign w:val="center"/>
          </w:tcPr>
          <w:p w14:paraId="3B29490C" w14:textId="77777777" w:rsidR="003D173F" w:rsidRPr="00753EAC" w:rsidRDefault="003D173F" w:rsidP="004F690C">
            <w:pPr>
              <w:spacing w:line="240" w:lineRule="auto"/>
              <w:jc w:val="center"/>
              <w:rPr>
                <w:rFonts w:ascii="Times New Roman" w:eastAsia="Calibri" w:hAnsi="Times New Roman" w:cs="Times New Roman"/>
                <w:b/>
                <w:color w:val="000000"/>
              </w:rPr>
            </w:pPr>
          </w:p>
        </w:tc>
        <w:tc>
          <w:tcPr>
            <w:tcW w:w="850" w:type="dxa"/>
            <w:shd w:val="clear" w:color="auto" w:fill="DBE5F1"/>
            <w:vAlign w:val="center"/>
          </w:tcPr>
          <w:p w14:paraId="39E43564" w14:textId="1BD79E78" w:rsidR="003D173F" w:rsidRPr="00753EAC" w:rsidRDefault="0046380A" w:rsidP="092ADAC3">
            <w:pPr>
              <w:spacing w:line="240" w:lineRule="auto"/>
              <w:jc w:val="center"/>
              <w:rPr>
                <w:rFonts w:ascii="Times New Roman" w:eastAsia="Calibri" w:hAnsi="Times New Roman" w:cs="Times New Roman"/>
                <w:b/>
                <w:bCs/>
                <w:color w:val="000000"/>
              </w:rPr>
            </w:pPr>
            <w:r w:rsidRPr="567EC346">
              <w:rPr>
                <w:rFonts w:ascii="Times New Roman" w:eastAsia="Calibri" w:hAnsi="Times New Roman" w:cs="Times New Roman"/>
                <w:b/>
                <w:bCs/>
                <w:color w:val="000000" w:themeColor="text1"/>
              </w:rPr>
              <w:t>202</w:t>
            </w:r>
            <w:r>
              <w:rPr>
                <w:rFonts w:ascii="Times New Roman" w:eastAsia="Calibri" w:hAnsi="Times New Roman" w:cs="Times New Roman"/>
                <w:b/>
                <w:bCs/>
                <w:color w:val="000000" w:themeColor="text1"/>
              </w:rPr>
              <w:t>3</w:t>
            </w:r>
            <w:r w:rsidRPr="567EC346">
              <w:rPr>
                <w:rFonts w:ascii="Times New Roman" w:eastAsia="Calibri" w:hAnsi="Times New Roman" w:cs="Times New Roman"/>
                <w:b/>
                <w:bCs/>
                <w:color w:val="000000" w:themeColor="text1"/>
              </w:rPr>
              <w:t xml:space="preserve"> </w:t>
            </w:r>
            <w:r w:rsidR="757D33C1" w:rsidRPr="567EC346">
              <w:rPr>
                <w:rFonts w:ascii="Times New Roman" w:eastAsia="Calibri" w:hAnsi="Times New Roman" w:cs="Times New Roman"/>
                <w:b/>
                <w:bCs/>
                <w:color w:val="000000" w:themeColor="text1"/>
              </w:rPr>
              <w:t>metai</w:t>
            </w:r>
          </w:p>
        </w:tc>
        <w:tc>
          <w:tcPr>
            <w:tcW w:w="851" w:type="dxa"/>
            <w:shd w:val="clear" w:color="auto" w:fill="DBE5F1"/>
            <w:vAlign w:val="center"/>
          </w:tcPr>
          <w:p w14:paraId="02E1039D" w14:textId="43B6485C" w:rsidR="003D173F" w:rsidRPr="00753EAC" w:rsidRDefault="0046380A" w:rsidP="092ADAC3">
            <w:pPr>
              <w:spacing w:line="240" w:lineRule="auto"/>
              <w:jc w:val="center"/>
              <w:rPr>
                <w:rFonts w:ascii="Times New Roman" w:eastAsia="Calibri" w:hAnsi="Times New Roman" w:cs="Times New Roman"/>
                <w:b/>
                <w:bCs/>
                <w:color w:val="000000"/>
              </w:rPr>
            </w:pPr>
            <w:r w:rsidRPr="567EC346">
              <w:rPr>
                <w:rFonts w:ascii="Times New Roman" w:eastAsia="Calibri" w:hAnsi="Times New Roman" w:cs="Times New Roman"/>
                <w:b/>
                <w:bCs/>
                <w:color w:val="000000" w:themeColor="text1"/>
              </w:rPr>
              <w:t>202</w:t>
            </w:r>
            <w:r>
              <w:rPr>
                <w:rFonts w:ascii="Times New Roman" w:eastAsia="Calibri" w:hAnsi="Times New Roman" w:cs="Times New Roman"/>
                <w:b/>
                <w:bCs/>
                <w:color w:val="000000" w:themeColor="text1"/>
              </w:rPr>
              <w:t>4</w:t>
            </w:r>
            <w:r w:rsidRPr="567EC346">
              <w:rPr>
                <w:rFonts w:ascii="Times New Roman" w:eastAsia="Calibri" w:hAnsi="Times New Roman" w:cs="Times New Roman"/>
                <w:b/>
                <w:bCs/>
                <w:color w:val="000000" w:themeColor="text1"/>
              </w:rPr>
              <w:t xml:space="preserve"> </w:t>
            </w:r>
            <w:r w:rsidR="757D33C1" w:rsidRPr="567EC346">
              <w:rPr>
                <w:rFonts w:ascii="Times New Roman" w:eastAsia="Calibri" w:hAnsi="Times New Roman" w:cs="Times New Roman"/>
                <w:b/>
                <w:bCs/>
                <w:color w:val="000000" w:themeColor="text1"/>
              </w:rPr>
              <w:t>metai</w:t>
            </w:r>
          </w:p>
        </w:tc>
        <w:tc>
          <w:tcPr>
            <w:tcW w:w="850" w:type="dxa"/>
            <w:shd w:val="clear" w:color="auto" w:fill="DBE5F1"/>
            <w:vAlign w:val="center"/>
          </w:tcPr>
          <w:p w14:paraId="24E6E264" w14:textId="7D5DD808" w:rsidR="00160EF9" w:rsidRDefault="0046380A" w:rsidP="092ADAC3">
            <w:pPr>
              <w:spacing w:line="240" w:lineRule="auto"/>
              <w:jc w:val="center"/>
              <w:rPr>
                <w:rFonts w:ascii="Times New Roman" w:eastAsia="Calibri" w:hAnsi="Times New Roman" w:cs="Times New Roman"/>
                <w:b/>
                <w:bCs/>
                <w:color w:val="000000" w:themeColor="text1"/>
              </w:rPr>
            </w:pPr>
            <w:r w:rsidRPr="567EC346">
              <w:rPr>
                <w:rFonts w:ascii="Times New Roman" w:eastAsia="Calibri" w:hAnsi="Times New Roman" w:cs="Times New Roman"/>
                <w:b/>
                <w:bCs/>
                <w:color w:val="000000" w:themeColor="text1"/>
              </w:rPr>
              <w:t>202</w:t>
            </w:r>
            <w:r>
              <w:rPr>
                <w:rFonts w:ascii="Times New Roman" w:eastAsia="Calibri" w:hAnsi="Times New Roman" w:cs="Times New Roman"/>
                <w:b/>
                <w:bCs/>
                <w:color w:val="000000" w:themeColor="text1"/>
              </w:rPr>
              <w:t>5</w:t>
            </w:r>
          </w:p>
          <w:p w14:paraId="0D54600D" w14:textId="48D81693" w:rsidR="003D173F" w:rsidRPr="00753EAC" w:rsidRDefault="757D33C1" w:rsidP="092ADAC3">
            <w:pPr>
              <w:spacing w:line="240" w:lineRule="auto"/>
              <w:jc w:val="center"/>
              <w:rPr>
                <w:rFonts w:ascii="Times New Roman" w:eastAsia="Calibri" w:hAnsi="Times New Roman" w:cs="Times New Roman"/>
                <w:b/>
                <w:bCs/>
                <w:color w:val="000000"/>
              </w:rPr>
            </w:pPr>
            <w:r w:rsidRPr="567EC346">
              <w:rPr>
                <w:rFonts w:ascii="Times New Roman" w:eastAsia="Calibri" w:hAnsi="Times New Roman" w:cs="Times New Roman"/>
                <w:b/>
                <w:bCs/>
                <w:color w:val="000000" w:themeColor="text1"/>
              </w:rPr>
              <w:t>metai</w:t>
            </w:r>
          </w:p>
        </w:tc>
        <w:tc>
          <w:tcPr>
            <w:tcW w:w="1134" w:type="dxa"/>
            <w:vMerge/>
            <w:vAlign w:val="center"/>
          </w:tcPr>
          <w:p w14:paraId="78F5872C" w14:textId="77777777" w:rsidR="003D173F" w:rsidRPr="00753EAC" w:rsidRDefault="003D173F" w:rsidP="004F690C">
            <w:pPr>
              <w:spacing w:line="240" w:lineRule="auto"/>
              <w:jc w:val="center"/>
              <w:rPr>
                <w:rFonts w:ascii="Times New Roman" w:eastAsia="Calibri" w:hAnsi="Times New Roman" w:cs="Times New Roman"/>
                <w:b/>
                <w:color w:val="000000"/>
              </w:rPr>
            </w:pPr>
          </w:p>
        </w:tc>
        <w:tc>
          <w:tcPr>
            <w:tcW w:w="1276" w:type="dxa"/>
            <w:shd w:val="clear" w:color="auto" w:fill="DBE5F1"/>
            <w:vAlign w:val="center"/>
          </w:tcPr>
          <w:p w14:paraId="7E4F9982" w14:textId="1435A5CB" w:rsidR="003D173F" w:rsidRPr="00B356E4" w:rsidRDefault="008E3EB4" w:rsidP="092ADAC3">
            <w:pPr>
              <w:spacing w:line="240" w:lineRule="auto"/>
              <w:jc w:val="center"/>
              <w:rPr>
                <w:rFonts w:ascii="Times New Roman" w:eastAsia="Calibri" w:hAnsi="Times New Roman" w:cs="Times New Roman"/>
                <w:b/>
                <w:bCs/>
              </w:rPr>
            </w:pPr>
            <w:r w:rsidRPr="00B356E4">
              <w:rPr>
                <w:rFonts w:ascii="Times New Roman" w:eastAsia="Calibri" w:hAnsi="Times New Roman" w:cs="Times New Roman"/>
                <w:b/>
                <w:bCs/>
              </w:rPr>
              <w:t xml:space="preserve">2026 </w:t>
            </w:r>
            <w:r w:rsidR="003D173F" w:rsidRPr="00B356E4">
              <w:rPr>
                <w:rFonts w:ascii="Times New Roman" w:eastAsia="Calibri" w:hAnsi="Times New Roman" w:cs="Times New Roman"/>
                <w:b/>
                <w:bCs/>
              </w:rPr>
              <w:t>m.</w:t>
            </w:r>
          </w:p>
        </w:tc>
        <w:tc>
          <w:tcPr>
            <w:tcW w:w="1276" w:type="dxa"/>
            <w:shd w:val="clear" w:color="auto" w:fill="DBE5F1"/>
            <w:vAlign w:val="center"/>
          </w:tcPr>
          <w:p w14:paraId="4EC10EEE" w14:textId="23C75896" w:rsidR="003D173F" w:rsidRPr="00B356E4" w:rsidRDefault="003D173F" w:rsidP="092ADAC3">
            <w:pPr>
              <w:spacing w:line="240" w:lineRule="auto"/>
              <w:jc w:val="center"/>
              <w:rPr>
                <w:rFonts w:ascii="Times New Roman" w:eastAsia="Calibri" w:hAnsi="Times New Roman" w:cs="Times New Roman"/>
                <w:b/>
                <w:bCs/>
              </w:rPr>
            </w:pPr>
            <w:r w:rsidRPr="00B356E4">
              <w:rPr>
                <w:rFonts w:ascii="Times New Roman" w:eastAsia="Calibri" w:hAnsi="Times New Roman" w:cs="Times New Roman"/>
                <w:b/>
                <w:bCs/>
              </w:rPr>
              <w:t>2030 m.</w:t>
            </w:r>
          </w:p>
        </w:tc>
      </w:tr>
      <w:tr w:rsidR="00BF64F5" w14:paraId="5EA90A76" w14:textId="77777777" w:rsidTr="070233B9">
        <w:trPr>
          <w:trHeight w:val="230"/>
        </w:trPr>
        <w:tc>
          <w:tcPr>
            <w:tcW w:w="2836" w:type="dxa"/>
            <w:shd w:val="clear" w:color="auto" w:fill="DBE5F1"/>
          </w:tcPr>
          <w:p w14:paraId="7F20434B" w14:textId="77777777" w:rsidR="003D173F" w:rsidRPr="00753EAC" w:rsidRDefault="003D173F" w:rsidP="004F690C">
            <w:pPr>
              <w:spacing w:line="240" w:lineRule="auto"/>
              <w:jc w:val="center"/>
              <w:rPr>
                <w:rFonts w:ascii="Times New Roman" w:eastAsia="Calibri" w:hAnsi="Times New Roman" w:cs="Times New Roman"/>
                <w:color w:val="000000"/>
              </w:rPr>
            </w:pPr>
            <w:r w:rsidRPr="092ADAC3">
              <w:rPr>
                <w:rFonts w:ascii="Times New Roman" w:eastAsia="Calibri" w:hAnsi="Times New Roman" w:cs="Times New Roman"/>
                <w:color w:val="000000" w:themeColor="text1"/>
              </w:rPr>
              <w:t>1</w:t>
            </w:r>
          </w:p>
        </w:tc>
        <w:tc>
          <w:tcPr>
            <w:tcW w:w="1134" w:type="dxa"/>
            <w:shd w:val="clear" w:color="auto" w:fill="DBE5F1"/>
          </w:tcPr>
          <w:p w14:paraId="13C2A396" w14:textId="77777777" w:rsidR="003D173F" w:rsidRPr="00753EAC" w:rsidRDefault="003D173F" w:rsidP="004F690C">
            <w:pPr>
              <w:spacing w:line="240" w:lineRule="auto"/>
              <w:jc w:val="center"/>
              <w:rPr>
                <w:rFonts w:ascii="Times New Roman" w:eastAsia="Calibri" w:hAnsi="Times New Roman" w:cs="Times New Roman"/>
                <w:color w:val="000000"/>
              </w:rPr>
            </w:pPr>
            <w:r w:rsidRPr="092ADAC3">
              <w:rPr>
                <w:rFonts w:ascii="Times New Roman" w:eastAsia="Calibri" w:hAnsi="Times New Roman" w:cs="Times New Roman"/>
                <w:color w:val="000000" w:themeColor="text1"/>
              </w:rPr>
              <w:t>2</w:t>
            </w:r>
          </w:p>
        </w:tc>
        <w:tc>
          <w:tcPr>
            <w:tcW w:w="850" w:type="dxa"/>
            <w:shd w:val="clear" w:color="auto" w:fill="DBE5F1"/>
          </w:tcPr>
          <w:p w14:paraId="2D0A7767" w14:textId="77777777" w:rsidR="003D173F" w:rsidRPr="00753EAC" w:rsidRDefault="003D173F" w:rsidP="004F690C">
            <w:pPr>
              <w:spacing w:line="240" w:lineRule="auto"/>
              <w:jc w:val="center"/>
              <w:rPr>
                <w:rFonts w:ascii="Times New Roman" w:eastAsia="Calibri" w:hAnsi="Times New Roman" w:cs="Times New Roman"/>
                <w:color w:val="000000"/>
              </w:rPr>
            </w:pPr>
            <w:r w:rsidRPr="092ADAC3">
              <w:rPr>
                <w:rFonts w:ascii="Times New Roman" w:eastAsia="Calibri" w:hAnsi="Times New Roman" w:cs="Times New Roman"/>
                <w:color w:val="000000" w:themeColor="text1"/>
              </w:rPr>
              <w:t>3</w:t>
            </w:r>
          </w:p>
        </w:tc>
        <w:tc>
          <w:tcPr>
            <w:tcW w:w="851" w:type="dxa"/>
            <w:shd w:val="clear" w:color="auto" w:fill="DBE5F1"/>
          </w:tcPr>
          <w:p w14:paraId="05936FF5" w14:textId="77777777" w:rsidR="003D173F" w:rsidRPr="00753EAC" w:rsidRDefault="003D173F" w:rsidP="004F690C">
            <w:pPr>
              <w:spacing w:line="240" w:lineRule="auto"/>
              <w:jc w:val="center"/>
              <w:rPr>
                <w:rFonts w:ascii="Times New Roman" w:eastAsia="Calibri" w:hAnsi="Times New Roman" w:cs="Times New Roman"/>
                <w:color w:val="000000"/>
              </w:rPr>
            </w:pPr>
            <w:r w:rsidRPr="092ADAC3">
              <w:rPr>
                <w:rFonts w:ascii="Times New Roman" w:eastAsia="Calibri" w:hAnsi="Times New Roman" w:cs="Times New Roman"/>
                <w:color w:val="000000" w:themeColor="text1"/>
              </w:rPr>
              <w:t>4</w:t>
            </w:r>
          </w:p>
        </w:tc>
        <w:tc>
          <w:tcPr>
            <w:tcW w:w="850" w:type="dxa"/>
            <w:shd w:val="clear" w:color="auto" w:fill="DBE5F1"/>
          </w:tcPr>
          <w:p w14:paraId="043AACB3" w14:textId="77777777" w:rsidR="003D173F" w:rsidRPr="00753EAC" w:rsidRDefault="003D173F" w:rsidP="004F690C">
            <w:pPr>
              <w:spacing w:line="240" w:lineRule="auto"/>
              <w:jc w:val="center"/>
              <w:rPr>
                <w:rFonts w:ascii="Times New Roman" w:eastAsia="Calibri" w:hAnsi="Times New Roman" w:cs="Times New Roman"/>
                <w:color w:val="000000"/>
              </w:rPr>
            </w:pPr>
            <w:r w:rsidRPr="092ADAC3">
              <w:rPr>
                <w:rFonts w:ascii="Times New Roman" w:eastAsia="Calibri" w:hAnsi="Times New Roman" w:cs="Times New Roman"/>
                <w:color w:val="000000" w:themeColor="text1"/>
              </w:rPr>
              <w:t>5</w:t>
            </w:r>
          </w:p>
        </w:tc>
        <w:tc>
          <w:tcPr>
            <w:tcW w:w="1134" w:type="dxa"/>
            <w:shd w:val="clear" w:color="auto" w:fill="DBE5F1"/>
          </w:tcPr>
          <w:p w14:paraId="5A000653" w14:textId="77777777" w:rsidR="003D173F" w:rsidRPr="00753EAC" w:rsidRDefault="003D173F" w:rsidP="004F690C">
            <w:pPr>
              <w:spacing w:line="240" w:lineRule="auto"/>
              <w:jc w:val="center"/>
              <w:rPr>
                <w:rFonts w:ascii="Times New Roman" w:eastAsia="Calibri" w:hAnsi="Times New Roman" w:cs="Times New Roman"/>
                <w:color w:val="000000"/>
              </w:rPr>
            </w:pPr>
            <w:r w:rsidRPr="092ADAC3">
              <w:rPr>
                <w:rFonts w:ascii="Times New Roman" w:eastAsia="Calibri" w:hAnsi="Times New Roman" w:cs="Times New Roman"/>
                <w:color w:val="000000" w:themeColor="text1"/>
              </w:rPr>
              <w:t>6</w:t>
            </w:r>
          </w:p>
        </w:tc>
        <w:tc>
          <w:tcPr>
            <w:tcW w:w="1276" w:type="dxa"/>
            <w:shd w:val="clear" w:color="auto" w:fill="DBE5F1"/>
          </w:tcPr>
          <w:p w14:paraId="4DFF79F0" w14:textId="77777777" w:rsidR="003D173F" w:rsidRPr="00753EAC" w:rsidRDefault="003D173F" w:rsidP="004F690C">
            <w:pPr>
              <w:spacing w:line="240" w:lineRule="auto"/>
              <w:jc w:val="center"/>
              <w:rPr>
                <w:rFonts w:ascii="Times New Roman" w:eastAsia="Calibri" w:hAnsi="Times New Roman" w:cs="Times New Roman"/>
                <w:color w:val="000000"/>
              </w:rPr>
            </w:pPr>
            <w:r w:rsidRPr="092ADAC3">
              <w:rPr>
                <w:rFonts w:ascii="Times New Roman" w:eastAsia="Calibri" w:hAnsi="Times New Roman" w:cs="Times New Roman"/>
                <w:color w:val="000000" w:themeColor="text1"/>
              </w:rPr>
              <w:t>7</w:t>
            </w:r>
          </w:p>
        </w:tc>
        <w:tc>
          <w:tcPr>
            <w:tcW w:w="1276" w:type="dxa"/>
            <w:shd w:val="clear" w:color="auto" w:fill="DBE5F1"/>
          </w:tcPr>
          <w:p w14:paraId="5CF5D995" w14:textId="77777777" w:rsidR="003D173F" w:rsidRPr="00753EAC" w:rsidRDefault="003D173F" w:rsidP="004F690C">
            <w:pPr>
              <w:spacing w:line="240" w:lineRule="auto"/>
              <w:jc w:val="center"/>
              <w:rPr>
                <w:rFonts w:ascii="Times New Roman" w:eastAsia="Calibri" w:hAnsi="Times New Roman" w:cs="Times New Roman"/>
                <w:color w:val="000000"/>
              </w:rPr>
            </w:pPr>
            <w:r w:rsidRPr="092ADAC3">
              <w:rPr>
                <w:rFonts w:ascii="Times New Roman" w:eastAsia="Calibri" w:hAnsi="Times New Roman" w:cs="Times New Roman"/>
                <w:color w:val="000000" w:themeColor="text1"/>
              </w:rPr>
              <w:t>8</w:t>
            </w:r>
          </w:p>
        </w:tc>
      </w:tr>
      <w:tr w:rsidR="00BF64F5" w14:paraId="7915AF2B" w14:textId="77777777" w:rsidTr="070233B9">
        <w:trPr>
          <w:trHeight w:val="659"/>
        </w:trPr>
        <w:tc>
          <w:tcPr>
            <w:tcW w:w="2836" w:type="dxa"/>
          </w:tcPr>
          <w:p w14:paraId="160328D6" w14:textId="77777777" w:rsidR="003D173F" w:rsidRPr="00753EAC" w:rsidRDefault="003D173F" w:rsidP="092ADAC3">
            <w:pPr>
              <w:pStyle w:val="Pagrindinistekstas"/>
              <w:widowControl w:val="0"/>
              <w:spacing w:after="0" w:line="240" w:lineRule="auto"/>
              <w:rPr>
                <w:rFonts w:ascii="Times New Roman" w:eastAsia="Calibri" w:hAnsi="Times New Roman" w:cs="Times New Roman"/>
                <w:i/>
                <w:iCs/>
                <w:color w:val="808080"/>
                <w:sz w:val="22"/>
                <w:szCs w:val="22"/>
              </w:rPr>
            </w:pPr>
            <w:r w:rsidRPr="092ADAC3">
              <w:rPr>
                <w:rFonts w:ascii="Times New Roman" w:eastAsia="Calibri" w:hAnsi="Times New Roman" w:cs="Times New Roman"/>
                <w:sz w:val="22"/>
                <w:szCs w:val="22"/>
              </w:rPr>
              <w:t xml:space="preserve">E-01-001-12-01. </w:t>
            </w:r>
            <w:r w:rsidRPr="092ADAC3">
              <w:rPr>
                <w:rStyle w:val="Grietas"/>
                <w:rFonts w:ascii="Times New Roman" w:hAnsi="Times New Roman" w:cs="Times New Roman"/>
                <w:b w:val="0"/>
                <w:bCs w:val="0"/>
                <w:sz w:val="22"/>
                <w:szCs w:val="22"/>
              </w:rPr>
              <w:t xml:space="preserve">Vidutinės centralizuotai administruojamo valstybės nekilnojamojo turto valdymo ir ūkinės priežiūros išlaidos, tenkančios 1 kv. metrui bendro įstaigos valdomo ploto, ne daugiau kaip, eurais </w:t>
            </w:r>
          </w:p>
        </w:tc>
        <w:tc>
          <w:tcPr>
            <w:tcW w:w="1134" w:type="dxa"/>
            <w:vAlign w:val="center"/>
          </w:tcPr>
          <w:p w14:paraId="124256A9" w14:textId="6595CCFE" w:rsidR="003D173F" w:rsidRDefault="003D173F" w:rsidP="004F690C">
            <w:pPr>
              <w:spacing w:line="240" w:lineRule="auto"/>
              <w:jc w:val="center"/>
              <w:rPr>
                <w:rFonts w:ascii="Times New Roman" w:eastAsia="Calibri" w:hAnsi="Times New Roman" w:cs="Times New Roman"/>
              </w:rPr>
            </w:pPr>
            <w:r w:rsidRPr="092ADAC3">
              <w:rPr>
                <w:rFonts w:ascii="Times New Roman" w:eastAsia="Calibri" w:hAnsi="Times New Roman" w:cs="Times New Roman"/>
              </w:rPr>
              <w:t>10</w:t>
            </w:r>
            <w:r w:rsidR="00645EB0">
              <w:rPr>
                <w:rFonts w:ascii="Times New Roman" w:eastAsia="Calibri" w:hAnsi="Times New Roman" w:cs="Times New Roman"/>
              </w:rPr>
              <w:t>.</w:t>
            </w:r>
            <w:r w:rsidRPr="092ADAC3">
              <w:rPr>
                <w:rFonts w:ascii="Times New Roman" w:eastAsia="Calibri" w:hAnsi="Times New Roman" w:cs="Times New Roman"/>
              </w:rPr>
              <w:t>08</w:t>
            </w:r>
          </w:p>
          <w:p w14:paraId="16035EB9" w14:textId="77777777" w:rsidR="001A7857" w:rsidRPr="00753EAC" w:rsidRDefault="5E2AB1E7" w:rsidP="004F690C">
            <w:pPr>
              <w:spacing w:line="240" w:lineRule="auto"/>
              <w:jc w:val="center"/>
              <w:rPr>
                <w:rFonts w:ascii="Times New Roman" w:eastAsia="Calibri" w:hAnsi="Times New Roman" w:cs="Times New Roman"/>
              </w:rPr>
            </w:pPr>
            <w:r w:rsidRPr="092ADAC3">
              <w:rPr>
                <w:rFonts w:ascii="Times New Roman" w:eastAsia="Calibri" w:hAnsi="Times New Roman" w:cs="Times New Roman"/>
              </w:rPr>
              <w:t>(2019)</w:t>
            </w:r>
          </w:p>
        </w:tc>
        <w:tc>
          <w:tcPr>
            <w:tcW w:w="850" w:type="dxa"/>
            <w:vAlign w:val="center"/>
          </w:tcPr>
          <w:p w14:paraId="1A55A412" w14:textId="69260C06" w:rsidR="003D173F" w:rsidRPr="004549FC" w:rsidRDefault="5B902B9B" w:rsidP="16BBCD38">
            <w:pPr>
              <w:spacing w:line="240" w:lineRule="auto"/>
              <w:jc w:val="center"/>
              <w:rPr>
                <w:rFonts w:ascii="Times New Roman" w:eastAsia="Calibri" w:hAnsi="Times New Roman" w:cs="Times New Roman"/>
                <w:strike/>
              </w:rPr>
            </w:pPr>
            <w:r w:rsidRPr="004549FC">
              <w:rPr>
                <w:rFonts w:ascii="Times New Roman" w:eastAsia="Calibri" w:hAnsi="Times New Roman" w:cs="Times New Roman"/>
              </w:rPr>
              <w:t>11,</w:t>
            </w:r>
            <w:r w:rsidR="00160EF9">
              <w:rPr>
                <w:rFonts w:ascii="Times New Roman" w:eastAsia="Calibri" w:hAnsi="Times New Roman" w:cs="Times New Roman"/>
              </w:rPr>
              <w:t>0</w:t>
            </w:r>
            <w:r w:rsidR="00160EF9" w:rsidRPr="004549FC">
              <w:rPr>
                <w:rFonts w:ascii="Times New Roman" w:eastAsia="Calibri" w:hAnsi="Times New Roman" w:cs="Times New Roman"/>
              </w:rPr>
              <w:t>9</w:t>
            </w:r>
          </w:p>
        </w:tc>
        <w:tc>
          <w:tcPr>
            <w:tcW w:w="851" w:type="dxa"/>
            <w:vAlign w:val="center"/>
          </w:tcPr>
          <w:p w14:paraId="6283F73E" w14:textId="16D134C1" w:rsidR="003D173F" w:rsidRPr="00753EAC" w:rsidRDefault="00160EF9" w:rsidP="16BBCD38">
            <w:pPr>
              <w:spacing w:line="240" w:lineRule="auto"/>
              <w:jc w:val="center"/>
              <w:rPr>
                <w:rFonts w:ascii="Times New Roman" w:eastAsia="Calibri" w:hAnsi="Times New Roman" w:cs="Times New Roman"/>
              </w:rPr>
            </w:pPr>
            <w:r w:rsidRPr="16BBCD38">
              <w:rPr>
                <w:rFonts w:ascii="Times New Roman" w:eastAsia="Calibri" w:hAnsi="Times New Roman" w:cs="Times New Roman"/>
              </w:rPr>
              <w:t>1</w:t>
            </w:r>
            <w:r>
              <w:rPr>
                <w:rFonts w:ascii="Times New Roman" w:eastAsia="Calibri" w:hAnsi="Times New Roman" w:cs="Times New Roman"/>
              </w:rPr>
              <w:t>2</w:t>
            </w:r>
            <w:r w:rsidR="1BCEEA95" w:rsidRPr="16BBCD38">
              <w:rPr>
                <w:rFonts w:ascii="Times New Roman" w:eastAsia="Calibri" w:hAnsi="Times New Roman" w:cs="Times New Roman"/>
              </w:rPr>
              <w:t>,</w:t>
            </w:r>
            <w:r>
              <w:rPr>
                <w:rFonts w:ascii="Times New Roman" w:eastAsia="Calibri" w:hAnsi="Times New Roman" w:cs="Times New Roman"/>
              </w:rPr>
              <w:t>56</w:t>
            </w:r>
          </w:p>
        </w:tc>
        <w:tc>
          <w:tcPr>
            <w:tcW w:w="850" w:type="dxa"/>
            <w:vAlign w:val="center"/>
          </w:tcPr>
          <w:p w14:paraId="7BB0E1E8" w14:textId="60546376" w:rsidR="003D173F" w:rsidRPr="00753EAC" w:rsidRDefault="49B19573" w:rsidP="16BBCD38">
            <w:pPr>
              <w:spacing w:line="240" w:lineRule="auto"/>
              <w:jc w:val="center"/>
              <w:rPr>
                <w:rFonts w:ascii="Times New Roman" w:eastAsia="Calibri" w:hAnsi="Times New Roman" w:cs="Times New Roman"/>
              </w:rPr>
            </w:pPr>
            <w:r w:rsidRPr="00736BD4">
              <w:rPr>
                <w:rFonts w:ascii="Times New Roman" w:eastAsia="Calibri" w:hAnsi="Times New Roman" w:cs="Times New Roman"/>
              </w:rPr>
              <w:t>21</w:t>
            </w:r>
            <w:r w:rsidR="00736BD4" w:rsidRPr="00736BD4">
              <w:rPr>
                <w:rFonts w:ascii="Times New Roman" w:eastAsia="Calibri" w:hAnsi="Times New Roman" w:cs="Times New Roman"/>
              </w:rPr>
              <w:t>,</w:t>
            </w:r>
            <w:r w:rsidRPr="00736BD4">
              <w:rPr>
                <w:rFonts w:ascii="Times New Roman" w:eastAsia="Calibri" w:hAnsi="Times New Roman" w:cs="Times New Roman"/>
              </w:rPr>
              <w:t>96</w:t>
            </w:r>
          </w:p>
        </w:tc>
        <w:tc>
          <w:tcPr>
            <w:tcW w:w="1134" w:type="dxa"/>
            <w:vAlign w:val="center"/>
          </w:tcPr>
          <w:p w14:paraId="4BD7800F" w14:textId="134F23D8" w:rsidR="003D173F" w:rsidRPr="00C53FA1" w:rsidRDefault="00160EF9" w:rsidP="004549FC">
            <w:pPr>
              <w:spacing w:line="240" w:lineRule="auto"/>
              <w:jc w:val="center"/>
              <w:rPr>
                <w:rFonts w:ascii="Times New Roman" w:eastAsia="Times New Roman" w:hAnsi="Times New Roman" w:cs="Times New Roman"/>
                <w:strike/>
              </w:rPr>
            </w:pPr>
            <w:r w:rsidRPr="00C53FA1">
              <w:rPr>
                <w:rFonts w:ascii="Times New Roman" w:eastAsia="Calibri" w:hAnsi="Times New Roman" w:cs="Times New Roman"/>
              </w:rPr>
              <w:t>12</w:t>
            </w:r>
          </w:p>
        </w:tc>
        <w:tc>
          <w:tcPr>
            <w:tcW w:w="1276" w:type="dxa"/>
            <w:vAlign w:val="center"/>
          </w:tcPr>
          <w:p w14:paraId="2558A62E" w14:textId="77777777" w:rsidR="003D173F" w:rsidRPr="00753EAC" w:rsidRDefault="004F690C" w:rsidP="004F690C">
            <w:pPr>
              <w:spacing w:line="240" w:lineRule="auto"/>
              <w:jc w:val="center"/>
              <w:rPr>
                <w:rFonts w:ascii="Times New Roman" w:eastAsia="Calibri" w:hAnsi="Times New Roman" w:cs="Times New Roman"/>
              </w:rPr>
            </w:pPr>
            <w:r w:rsidRPr="092ADAC3">
              <w:rPr>
                <w:rFonts w:ascii="Times New Roman" w:eastAsia="Calibri" w:hAnsi="Times New Roman" w:cs="Times New Roman"/>
              </w:rPr>
              <w:t>Netaikoma</w:t>
            </w:r>
          </w:p>
        </w:tc>
        <w:tc>
          <w:tcPr>
            <w:tcW w:w="1276" w:type="dxa"/>
            <w:vAlign w:val="center"/>
          </w:tcPr>
          <w:p w14:paraId="54EBE74F" w14:textId="77777777" w:rsidR="003D173F" w:rsidRPr="00753EAC" w:rsidRDefault="004F690C" w:rsidP="004F690C">
            <w:pPr>
              <w:spacing w:line="240" w:lineRule="auto"/>
              <w:jc w:val="center"/>
              <w:rPr>
                <w:rFonts w:ascii="Times New Roman" w:eastAsia="Calibri" w:hAnsi="Times New Roman" w:cs="Times New Roman"/>
              </w:rPr>
            </w:pPr>
            <w:r w:rsidRPr="092ADAC3">
              <w:rPr>
                <w:rFonts w:ascii="Times New Roman" w:eastAsia="Calibri" w:hAnsi="Times New Roman" w:cs="Times New Roman"/>
              </w:rPr>
              <w:t>Netaikoma</w:t>
            </w:r>
          </w:p>
        </w:tc>
      </w:tr>
      <w:tr w:rsidR="00F56A5C" w14:paraId="0338AE3C" w14:textId="77777777" w:rsidTr="00736BD4">
        <w:trPr>
          <w:trHeight w:val="980"/>
        </w:trPr>
        <w:tc>
          <w:tcPr>
            <w:tcW w:w="10207" w:type="dxa"/>
            <w:gridSpan w:val="8"/>
            <w:shd w:val="clear" w:color="auto" w:fill="DEEAF6" w:themeFill="accent1" w:themeFillTint="33"/>
          </w:tcPr>
          <w:p w14:paraId="02B8B65D" w14:textId="19678B39" w:rsidR="00F56A5C" w:rsidRPr="00736BD4" w:rsidRDefault="51463DFB" w:rsidP="005B4630">
            <w:pPr>
              <w:spacing w:line="276" w:lineRule="auto"/>
              <w:jc w:val="both"/>
              <w:rPr>
                <w:rFonts w:ascii="Times New Roman" w:eastAsia="Times New Roman" w:hAnsi="Times New Roman" w:cs="Times New Roman"/>
                <w:sz w:val="24"/>
                <w:szCs w:val="24"/>
              </w:rPr>
            </w:pPr>
            <w:r w:rsidRPr="004E51CD">
              <w:rPr>
                <w:rFonts w:ascii="Times New Roman" w:eastAsia="Times New Roman" w:hAnsi="Times New Roman" w:cs="Times New Roman"/>
                <w:b/>
                <w:bCs/>
                <w:sz w:val="24"/>
                <w:szCs w:val="24"/>
              </w:rPr>
              <w:t xml:space="preserve">2025 m. siektina poveikio rodiklio reikšmė viršyta, nes ženkliai pabrango komunalinės išlaidos </w:t>
            </w:r>
            <w:r w:rsidRPr="004E51CD">
              <w:rPr>
                <w:rFonts w:ascii="Times New Roman" w:eastAsia="Times New Roman" w:hAnsi="Times New Roman" w:cs="Times New Roman"/>
                <w:b/>
                <w:bCs/>
                <w:strike/>
                <w:sz w:val="24"/>
                <w:szCs w:val="24"/>
              </w:rPr>
              <w:t>i</w:t>
            </w:r>
            <w:r w:rsidRPr="004E51CD">
              <w:rPr>
                <w:rFonts w:ascii="Times New Roman" w:eastAsia="Times New Roman" w:hAnsi="Times New Roman" w:cs="Times New Roman"/>
                <w:b/>
                <w:bCs/>
                <w:sz w:val="24"/>
                <w:szCs w:val="24"/>
              </w:rPr>
              <w:t>r nuo 2024 m. rugsėjo 1 d. VRM pastatą ir teritoriją Šventaragio g. 2, Vilniuje, saugo privati bendrovė, kurios paslaug</w:t>
            </w:r>
            <w:r w:rsidR="004E51CD">
              <w:rPr>
                <w:rFonts w:ascii="Times New Roman" w:eastAsia="Times New Roman" w:hAnsi="Times New Roman" w:cs="Times New Roman"/>
                <w:b/>
                <w:bCs/>
                <w:sz w:val="24"/>
                <w:szCs w:val="24"/>
              </w:rPr>
              <w:t>os yra mokamos</w:t>
            </w:r>
            <w:r w:rsidR="00B06C95">
              <w:rPr>
                <w:rFonts w:ascii="Times New Roman" w:eastAsia="Times New Roman" w:hAnsi="Times New Roman" w:cs="Times New Roman"/>
                <w:b/>
                <w:bCs/>
                <w:sz w:val="24"/>
                <w:szCs w:val="24"/>
              </w:rPr>
              <w:t>.</w:t>
            </w:r>
          </w:p>
        </w:tc>
      </w:tr>
    </w:tbl>
    <w:p w14:paraId="4FEDECEC" w14:textId="77777777" w:rsidR="003D173F" w:rsidRDefault="003D173F" w:rsidP="092ADAC3">
      <w:pPr>
        <w:ind w:firstLine="709"/>
        <w:jc w:val="center"/>
        <w:rPr>
          <w:rFonts w:ascii="Times New Roman" w:hAnsi="Times New Roman" w:cs="Times New Roman"/>
          <w:b/>
          <w:bCs/>
          <w:highlight w:val="lightGray"/>
        </w:rPr>
      </w:pPr>
    </w:p>
    <w:p w14:paraId="0342FF58" w14:textId="77777777" w:rsidR="00AA037B" w:rsidRDefault="00AA037B" w:rsidP="092ADAC3">
      <w:pPr>
        <w:ind w:firstLine="709"/>
        <w:jc w:val="center"/>
        <w:rPr>
          <w:rFonts w:ascii="Times New Roman" w:hAnsi="Times New Roman" w:cs="Times New Roman"/>
          <w:b/>
          <w:bCs/>
        </w:rPr>
        <w:sectPr w:rsidR="00AA037B" w:rsidSect="002819F2">
          <w:headerReference w:type="default" r:id="rId12"/>
          <w:footerReference w:type="default" r:id="rId13"/>
          <w:headerReference w:type="first" r:id="rId14"/>
          <w:footerReference w:type="first" r:id="rId15"/>
          <w:pgSz w:w="11906" w:h="16838"/>
          <w:pgMar w:top="1440" w:right="567" w:bottom="1440" w:left="1701" w:header="561" w:footer="561" w:gutter="0"/>
          <w:cols w:space="1296"/>
          <w:titlePg/>
          <w:docGrid w:linePitch="360"/>
        </w:sectPr>
      </w:pPr>
    </w:p>
    <w:p w14:paraId="3C4A961B" w14:textId="77777777" w:rsidR="003D173F" w:rsidRPr="00A46B54" w:rsidRDefault="00A86F14" w:rsidP="092ADAC3">
      <w:pPr>
        <w:ind w:firstLine="709"/>
        <w:jc w:val="center"/>
        <w:rPr>
          <w:rFonts w:ascii="Times New Roman" w:hAnsi="Times New Roman" w:cs="Times New Roman"/>
          <w:b/>
          <w:bCs/>
          <w:sz w:val="24"/>
          <w:szCs w:val="24"/>
        </w:rPr>
      </w:pPr>
      <w:r w:rsidRPr="00A46B54">
        <w:rPr>
          <w:rFonts w:ascii="Times New Roman" w:hAnsi="Times New Roman" w:cs="Times New Roman"/>
          <w:b/>
          <w:bCs/>
          <w:sz w:val="24"/>
          <w:szCs w:val="24"/>
        </w:rPr>
        <w:lastRenderedPageBreak/>
        <w:t>II SKYRIUS</w:t>
      </w:r>
    </w:p>
    <w:p w14:paraId="146D5A10" w14:textId="1FD84154" w:rsidR="00EE3319" w:rsidRPr="00A46B54" w:rsidRDefault="7FF7F821" w:rsidP="092ADAC3">
      <w:pPr>
        <w:ind w:firstLine="709"/>
        <w:jc w:val="center"/>
        <w:rPr>
          <w:rFonts w:ascii="Times New Roman" w:hAnsi="Times New Roman" w:cs="Times New Roman"/>
          <w:b/>
          <w:bCs/>
          <w:sz w:val="24"/>
          <w:szCs w:val="24"/>
        </w:rPr>
      </w:pPr>
      <w:r w:rsidRPr="00A46B54">
        <w:rPr>
          <w:rFonts w:ascii="Times New Roman" w:hAnsi="Times New Roman" w:cs="Times New Roman"/>
          <w:b/>
          <w:bCs/>
          <w:sz w:val="24"/>
          <w:szCs w:val="24"/>
        </w:rPr>
        <w:t>VIDAUS REIKALŲ MINISTERUI PAVESTŲ VALDYMO SRIČIŲ 202</w:t>
      </w:r>
      <w:r w:rsidR="008511F0">
        <w:rPr>
          <w:rFonts w:ascii="Times New Roman" w:hAnsi="Times New Roman" w:cs="Times New Roman"/>
          <w:b/>
          <w:bCs/>
          <w:sz w:val="24"/>
          <w:szCs w:val="24"/>
        </w:rPr>
        <w:t>5</w:t>
      </w:r>
      <w:r w:rsidR="0082310B" w:rsidRPr="00A46B54">
        <w:rPr>
          <w:rFonts w:ascii="Times New Roman" w:hAnsi="Times New Roman" w:cs="Times New Roman"/>
          <w:b/>
          <w:bCs/>
          <w:sz w:val="24"/>
          <w:szCs w:val="24"/>
        </w:rPr>
        <w:t>–</w:t>
      </w:r>
      <w:r w:rsidRPr="00A46B54">
        <w:rPr>
          <w:rFonts w:ascii="Times New Roman" w:hAnsi="Times New Roman" w:cs="Times New Roman"/>
          <w:b/>
          <w:bCs/>
          <w:sz w:val="24"/>
          <w:szCs w:val="24"/>
        </w:rPr>
        <w:t>202</w:t>
      </w:r>
      <w:r w:rsidR="008511F0">
        <w:rPr>
          <w:rFonts w:ascii="Times New Roman" w:hAnsi="Times New Roman" w:cs="Times New Roman"/>
          <w:b/>
          <w:bCs/>
          <w:sz w:val="24"/>
          <w:szCs w:val="24"/>
        </w:rPr>
        <w:t>7</w:t>
      </w:r>
      <w:r w:rsidRPr="00A46B54">
        <w:rPr>
          <w:rFonts w:ascii="Times New Roman" w:hAnsi="Times New Roman" w:cs="Times New Roman"/>
          <w:b/>
          <w:bCs/>
          <w:sz w:val="24"/>
          <w:szCs w:val="24"/>
        </w:rPr>
        <w:t xml:space="preserve"> METŲ STRATEGINIO VEIKLOS PLANO  </w:t>
      </w:r>
      <w:r w:rsidR="00EE3319" w:rsidRPr="00A46B54">
        <w:rPr>
          <w:rFonts w:ascii="Times New Roman" w:hAnsi="Times New Roman" w:cs="Times New Roman"/>
          <w:b/>
          <w:bCs/>
          <w:sz w:val="24"/>
          <w:szCs w:val="24"/>
        </w:rPr>
        <w:t>PROGRAMŲ ĮGYVENDINIMAS</w:t>
      </w:r>
    </w:p>
    <w:p w14:paraId="4224D089" w14:textId="77777777" w:rsidR="003D173F" w:rsidRPr="00A46B54" w:rsidRDefault="00A86F14" w:rsidP="092ADAC3">
      <w:pPr>
        <w:ind w:firstLine="709"/>
        <w:jc w:val="center"/>
        <w:rPr>
          <w:rFonts w:ascii="Times New Roman" w:hAnsi="Times New Roman" w:cs="Times New Roman"/>
          <w:b/>
          <w:bCs/>
          <w:sz w:val="24"/>
          <w:szCs w:val="24"/>
        </w:rPr>
      </w:pPr>
      <w:r w:rsidRPr="00A46B54">
        <w:rPr>
          <w:rFonts w:ascii="Times New Roman" w:hAnsi="Times New Roman" w:cs="Times New Roman"/>
          <w:b/>
          <w:bCs/>
          <w:sz w:val="24"/>
          <w:szCs w:val="24"/>
        </w:rPr>
        <w:t>Programos 01-001 „Vidaus reikalų ministrui pavestų valdymo sričių politikos formavimas ir vidaus reikalų infrastruktūros bei paslaugų valdymas“ įgyvendinimas</w:t>
      </w:r>
    </w:p>
    <w:p w14:paraId="1960DE81" w14:textId="3FCCB501" w:rsidR="00A86F14" w:rsidRPr="00A46B54" w:rsidRDefault="0060414B" w:rsidP="092ADAC3">
      <w:pPr>
        <w:ind w:firstLine="567"/>
        <w:rPr>
          <w:rFonts w:ascii="Times New Roman" w:hAnsi="Times New Roman" w:cs="Times New Roman"/>
          <w:b/>
          <w:bCs/>
          <w:sz w:val="24"/>
          <w:szCs w:val="24"/>
        </w:rPr>
      </w:pPr>
      <w:r w:rsidRPr="00A46B54">
        <w:rPr>
          <w:rFonts w:ascii="Times New Roman" w:hAnsi="Times New Roman" w:cs="Times New Roman"/>
          <w:b/>
          <w:bCs/>
          <w:sz w:val="24"/>
          <w:szCs w:val="24"/>
        </w:rPr>
        <w:t xml:space="preserve">2 lentelė. </w:t>
      </w:r>
      <w:r w:rsidR="006D4FF1" w:rsidRPr="00A46B54">
        <w:rPr>
          <w:rFonts w:ascii="Times New Roman" w:hAnsi="Times New Roman" w:cs="Times New Roman"/>
          <w:b/>
          <w:bCs/>
          <w:sz w:val="24"/>
          <w:szCs w:val="24"/>
        </w:rPr>
        <w:t xml:space="preserve">Programos tęstinės veiklos uždavinys, asignavimai ir poveikio rodiklis </w:t>
      </w:r>
    </w:p>
    <w:tbl>
      <w:tblPr>
        <w:tblW w:w="151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409"/>
        <w:gridCol w:w="1418"/>
        <w:gridCol w:w="1247"/>
        <w:gridCol w:w="1163"/>
        <w:gridCol w:w="1105"/>
        <w:gridCol w:w="1021"/>
        <w:gridCol w:w="992"/>
        <w:gridCol w:w="992"/>
        <w:gridCol w:w="993"/>
        <w:gridCol w:w="992"/>
        <w:gridCol w:w="709"/>
        <w:gridCol w:w="680"/>
      </w:tblGrid>
      <w:tr w:rsidR="00AA037B" w:rsidRPr="00775BCA" w14:paraId="43B58D49" w14:textId="77777777" w:rsidTr="00514E14">
        <w:trPr>
          <w:trHeight w:val="424"/>
        </w:trPr>
        <w:tc>
          <w:tcPr>
            <w:tcW w:w="1419" w:type="dxa"/>
            <w:vMerge w:val="restart"/>
            <w:shd w:val="clear" w:color="auto" w:fill="DEEAF6" w:themeFill="accent1" w:themeFillTint="33"/>
            <w:vAlign w:val="center"/>
          </w:tcPr>
          <w:p w14:paraId="3444C053" w14:textId="77777777" w:rsidR="00AA037B" w:rsidRPr="00775BCA" w:rsidRDefault="3A574DBE" w:rsidP="092ADAC3">
            <w:pPr>
              <w:spacing w:line="240" w:lineRule="atLeast"/>
              <w:jc w:val="center"/>
              <w:rPr>
                <w:rFonts w:ascii="Times New Roman" w:hAnsi="Times New Roman" w:cs="Times New Roman"/>
                <w:b/>
                <w:bCs/>
                <w:sz w:val="20"/>
                <w:szCs w:val="20"/>
                <w:lang w:eastAsia="lt-LT"/>
              </w:rPr>
            </w:pPr>
            <w:r w:rsidRPr="092ADAC3">
              <w:rPr>
                <w:rFonts w:ascii="Times New Roman" w:hAnsi="Times New Roman" w:cs="Times New Roman"/>
                <w:b/>
                <w:bCs/>
                <w:sz w:val="20"/>
                <w:szCs w:val="20"/>
              </w:rPr>
              <w:t>Valstybės veiklos srities, programos, pažangos arba tęstinės veiklos uždavinio, poveikio rodiklio kodas</w:t>
            </w:r>
          </w:p>
        </w:tc>
        <w:tc>
          <w:tcPr>
            <w:tcW w:w="2409" w:type="dxa"/>
            <w:vMerge w:val="restart"/>
            <w:shd w:val="clear" w:color="auto" w:fill="DEEAF6" w:themeFill="accent1" w:themeFillTint="33"/>
            <w:vAlign w:val="center"/>
          </w:tcPr>
          <w:p w14:paraId="4C92F23D" w14:textId="77777777" w:rsidR="00AA037B" w:rsidRPr="00925F82" w:rsidRDefault="3A574DBE" w:rsidP="092ADAC3">
            <w:pPr>
              <w:spacing w:line="240" w:lineRule="atLeast"/>
              <w:jc w:val="center"/>
              <w:rPr>
                <w:rFonts w:ascii="Times New Roman" w:hAnsi="Times New Roman" w:cs="Times New Roman"/>
                <w:b/>
                <w:bCs/>
                <w:sz w:val="20"/>
                <w:szCs w:val="20"/>
                <w:lang w:eastAsia="lt-LT"/>
              </w:rPr>
            </w:pPr>
            <w:r w:rsidRPr="092ADAC3">
              <w:rPr>
                <w:rFonts w:ascii="Times New Roman" w:hAnsi="Times New Roman" w:cs="Times New Roman"/>
                <w:b/>
                <w:bCs/>
                <w:sz w:val="20"/>
                <w:szCs w:val="20"/>
              </w:rPr>
              <w:t>Valstybės veiklos srities, programos, pažangos arba tęstinės veiklos uždavinio, poveikio rodiklio pavadinimas</w:t>
            </w:r>
          </w:p>
        </w:tc>
        <w:tc>
          <w:tcPr>
            <w:tcW w:w="4933" w:type="dxa"/>
            <w:gridSpan w:val="4"/>
            <w:shd w:val="clear" w:color="auto" w:fill="DEEAF6" w:themeFill="accent1" w:themeFillTint="33"/>
            <w:vAlign w:val="center"/>
          </w:tcPr>
          <w:p w14:paraId="3C63EFF1" w14:textId="77777777" w:rsidR="00AA037B" w:rsidRPr="000331C3" w:rsidRDefault="3A574DBE" w:rsidP="092ADAC3">
            <w:pPr>
              <w:spacing w:line="240" w:lineRule="atLeast"/>
              <w:jc w:val="center"/>
              <w:rPr>
                <w:rFonts w:ascii="Times New Roman" w:hAnsi="Times New Roman" w:cs="Times New Roman"/>
                <w:b/>
                <w:bCs/>
                <w:sz w:val="20"/>
                <w:szCs w:val="20"/>
                <w:lang w:eastAsia="lt-LT"/>
              </w:rPr>
            </w:pPr>
            <w:r w:rsidRPr="092ADAC3">
              <w:rPr>
                <w:rFonts w:ascii="Times New Roman" w:hAnsi="Times New Roman" w:cs="Times New Roman"/>
                <w:b/>
                <w:bCs/>
                <w:sz w:val="20"/>
                <w:szCs w:val="20"/>
              </w:rPr>
              <w:t>Asignavimai ir kitos lėšos (tūkst. Eur)</w:t>
            </w:r>
          </w:p>
        </w:tc>
        <w:tc>
          <w:tcPr>
            <w:tcW w:w="6379" w:type="dxa"/>
            <w:gridSpan w:val="7"/>
            <w:shd w:val="clear" w:color="auto" w:fill="DEEAF6" w:themeFill="accent1" w:themeFillTint="33"/>
            <w:vAlign w:val="center"/>
          </w:tcPr>
          <w:p w14:paraId="60F8CBF6" w14:textId="77777777" w:rsidR="00AA037B" w:rsidRPr="00775BCA" w:rsidRDefault="3A574DBE" w:rsidP="092ADAC3">
            <w:pPr>
              <w:spacing w:line="240" w:lineRule="atLeast"/>
              <w:jc w:val="center"/>
              <w:rPr>
                <w:rFonts w:ascii="Times New Roman" w:hAnsi="Times New Roman" w:cs="Times New Roman"/>
                <w:b/>
                <w:bCs/>
                <w:sz w:val="20"/>
                <w:szCs w:val="20"/>
                <w:lang w:val="en-US" w:eastAsia="lt-LT"/>
              </w:rPr>
            </w:pPr>
            <w:r w:rsidRPr="092ADAC3">
              <w:rPr>
                <w:rFonts w:ascii="Times New Roman" w:hAnsi="Times New Roman" w:cs="Times New Roman"/>
                <w:b/>
                <w:bCs/>
                <w:sz w:val="20"/>
                <w:szCs w:val="20"/>
              </w:rPr>
              <w:t>Poveikio rodiklių reikšmės</w:t>
            </w:r>
          </w:p>
        </w:tc>
      </w:tr>
      <w:tr w:rsidR="00AA037B" w:rsidRPr="00775BCA" w14:paraId="5F28DAF0" w14:textId="77777777" w:rsidTr="00514E14">
        <w:trPr>
          <w:trHeight w:val="1281"/>
        </w:trPr>
        <w:tc>
          <w:tcPr>
            <w:tcW w:w="1419" w:type="dxa"/>
            <w:vMerge/>
            <w:vAlign w:val="center"/>
          </w:tcPr>
          <w:p w14:paraId="26F9F918" w14:textId="77777777" w:rsidR="00AA037B" w:rsidRPr="00775BCA" w:rsidRDefault="00AA037B" w:rsidP="00AA037B">
            <w:pPr>
              <w:spacing w:line="240" w:lineRule="atLeast"/>
              <w:jc w:val="center"/>
              <w:rPr>
                <w:rFonts w:ascii="Times New Roman" w:hAnsi="Times New Roman" w:cs="Times New Roman"/>
                <w:b/>
                <w:sz w:val="20"/>
                <w:szCs w:val="20"/>
                <w:lang w:eastAsia="lt-LT"/>
              </w:rPr>
            </w:pPr>
          </w:p>
        </w:tc>
        <w:tc>
          <w:tcPr>
            <w:tcW w:w="2409" w:type="dxa"/>
            <w:vMerge/>
            <w:vAlign w:val="center"/>
          </w:tcPr>
          <w:p w14:paraId="5ED5E3CF" w14:textId="77777777" w:rsidR="00AA037B" w:rsidRPr="00775BCA" w:rsidRDefault="00AA037B" w:rsidP="00AA037B">
            <w:pPr>
              <w:spacing w:line="240" w:lineRule="atLeast"/>
              <w:jc w:val="center"/>
              <w:rPr>
                <w:rFonts w:ascii="Times New Roman" w:hAnsi="Times New Roman" w:cs="Times New Roman"/>
                <w:b/>
                <w:sz w:val="20"/>
                <w:szCs w:val="20"/>
                <w:lang w:eastAsia="lt-LT"/>
              </w:rPr>
            </w:pPr>
          </w:p>
        </w:tc>
        <w:tc>
          <w:tcPr>
            <w:tcW w:w="1418" w:type="dxa"/>
            <w:tcBorders>
              <w:bottom w:val="single" w:sz="4" w:space="0" w:color="auto"/>
            </w:tcBorders>
            <w:shd w:val="clear" w:color="auto" w:fill="DEEAF6" w:themeFill="accent1" w:themeFillTint="33"/>
            <w:vAlign w:val="center"/>
          </w:tcPr>
          <w:p w14:paraId="4E917116" w14:textId="77777777" w:rsidR="00AA037B" w:rsidRPr="00775BCA" w:rsidRDefault="3A574DBE" w:rsidP="092ADAC3">
            <w:pPr>
              <w:spacing w:line="240" w:lineRule="atLeast"/>
              <w:ind w:right="-108"/>
              <w:jc w:val="center"/>
              <w:rPr>
                <w:rFonts w:ascii="Times New Roman" w:hAnsi="Times New Roman" w:cs="Times New Roman"/>
                <w:b/>
                <w:bCs/>
                <w:sz w:val="20"/>
                <w:szCs w:val="20"/>
                <w:lang w:eastAsia="lt-LT"/>
              </w:rPr>
            </w:pPr>
            <w:r w:rsidRPr="092ADAC3">
              <w:rPr>
                <w:rFonts w:ascii="Times New Roman" w:hAnsi="Times New Roman" w:cs="Times New Roman"/>
                <w:b/>
                <w:bCs/>
                <w:sz w:val="20"/>
                <w:szCs w:val="20"/>
              </w:rPr>
              <w:t>Planas</w:t>
            </w:r>
          </w:p>
          <w:p w14:paraId="3CAC409E" w14:textId="77777777" w:rsidR="00AA037B" w:rsidRPr="00775BCA" w:rsidRDefault="3A574DBE" w:rsidP="092ADAC3">
            <w:pPr>
              <w:spacing w:line="240" w:lineRule="atLeast"/>
              <w:ind w:right="-108"/>
              <w:jc w:val="center"/>
              <w:rPr>
                <w:rFonts w:ascii="Times New Roman" w:hAnsi="Times New Roman" w:cs="Times New Roman"/>
                <w:b/>
                <w:bCs/>
                <w:sz w:val="20"/>
                <w:szCs w:val="20"/>
                <w:lang w:eastAsia="lt-LT"/>
              </w:rPr>
            </w:pPr>
            <w:r w:rsidRPr="092ADAC3">
              <w:rPr>
                <w:rFonts w:ascii="Times New Roman" w:hAnsi="Times New Roman" w:cs="Times New Roman"/>
                <w:b/>
                <w:bCs/>
                <w:sz w:val="20"/>
                <w:szCs w:val="20"/>
              </w:rPr>
              <w:t>(įskaitant patikslinimus)</w:t>
            </w:r>
          </w:p>
        </w:tc>
        <w:tc>
          <w:tcPr>
            <w:tcW w:w="1247" w:type="dxa"/>
            <w:tcBorders>
              <w:bottom w:val="single" w:sz="4" w:space="0" w:color="auto"/>
            </w:tcBorders>
            <w:shd w:val="clear" w:color="auto" w:fill="DEEAF6" w:themeFill="accent1" w:themeFillTint="33"/>
            <w:vAlign w:val="center"/>
          </w:tcPr>
          <w:p w14:paraId="3737CF41" w14:textId="77777777" w:rsidR="00AA037B" w:rsidRPr="00775BCA" w:rsidRDefault="3A574DBE" w:rsidP="092ADAC3">
            <w:pPr>
              <w:spacing w:line="240" w:lineRule="atLeast"/>
              <w:jc w:val="center"/>
              <w:rPr>
                <w:rFonts w:ascii="Times New Roman" w:hAnsi="Times New Roman" w:cs="Times New Roman"/>
                <w:b/>
                <w:bCs/>
                <w:sz w:val="20"/>
                <w:szCs w:val="20"/>
                <w:lang w:eastAsia="lt-LT"/>
              </w:rPr>
            </w:pPr>
            <w:r w:rsidRPr="092ADAC3">
              <w:rPr>
                <w:rFonts w:ascii="Times New Roman" w:hAnsi="Times New Roman" w:cs="Times New Roman"/>
                <w:b/>
                <w:bCs/>
                <w:sz w:val="20"/>
                <w:szCs w:val="20"/>
              </w:rPr>
              <w:t>Vykdymas</w:t>
            </w:r>
          </w:p>
        </w:tc>
        <w:tc>
          <w:tcPr>
            <w:tcW w:w="1163" w:type="dxa"/>
            <w:tcBorders>
              <w:bottom w:val="single" w:sz="4" w:space="0" w:color="auto"/>
            </w:tcBorders>
            <w:shd w:val="clear" w:color="auto" w:fill="DEEAF6" w:themeFill="accent1" w:themeFillTint="33"/>
            <w:vAlign w:val="center"/>
          </w:tcPr>
          <w:p w14:paraId="7316D2FE" w14:textId="77777777" w:rsidR="00AA037B" w:rsidRPr="00775BCA" w:rsidRDefault="3A574DBE" w:rsidP="092ADAC3">
            <w:pPr>
              <w:spacing w:line="240" w:lineRule="atLeast"/>
              <w:jc w:val="center"/>
              <w:rPr>
                <w:rFonts w:ascii="Times New Roman" w:hAnsi="Times New Roman" w:cs="Times New Roman"/>
                <w:b/>
                <w:bCs/>
                <w:sz w:val="20"/>
                <w:szCs w:val="20"/>
                <w:lang w:eastAsia="lt-LT"/>
              </w:rPr>
            </w:pPr>
            <w:r w:rsidRPr="092ADAC3">
              <w:rPr>
                <w:rFonts w:ascii="Times New Roman" w:hAnsi="Times New Roman" w:cs="Times New Roman"/>
                <w:b/>
                <w:bCs/>
                <w:sz w:val="20"/>
                <w:szCs w:val="20"/>
              </w:rPr>
              <w:t>Plano įvykdymo proc.</w:t>
            </w:r>
          </w:p>
        </w:tc>
        <w:tc>
          <w:tcPr>
            <w:tcW w:w="1105" w:type="dxa"/>
            <w:vMerge w:val="restart"/>
            <w:shd w:val="clear" w:color="auto" w:fill="DEEAF6" w:themeFill="accent1" w:themeFillTint="33"/>
            <w:vAlign w:val="center"/>
          </w:tcPr>
          <w:p w14:paraId="4DA94712" w14:textId="77777777" w:rsidR="00AA037B" w:rsidRPr="00775BCA" w:rsidRDefault="3A574DBE" w:rsidP="092ADAC3">
            <w:pPr>
              <w:spacing w:line="240" w:lineRule="atLeast"/>
              <w:jc w:val="center"/>
              <w:rPr>
                <w:rFonts w:ascii="Times New Roman" w:hAnsi="Times New Roman" w:cs="Times New Roman"/>
                <w:b/>
                <w:bCs/>
                <w:sz w:val="20"/>
                <w:szCs w:val="20"/>
                <w:lang w:eastAsia="lt-LT"/>
              </w:rPr>
            </w:pPr>
            <w:r w:rsidRPr="092ADAC3">
              <w:rPr>
                <w:rFonts w:ascii="Times New Roman" w:hAnsi="Times New Roman" w:cs="Times New Roman"/>
                <w:b/>
                <w:bCs/>
                <w:sz w:val="20"/>
                <w:szCs w:val="20"/>
              </w:rPr>
              <w:t>Vykdymas</w:t>
            </w:r>
          </w:p>
          <w:p w14:paraId="72184D7C" w14:textId="01B822DE" w:rsidR="00AA037B" w:rsidRPr="00775BCA" w:rsidRDefault="3A574DBE" w:rsidP="092ADAC3">
            <w:pPr>
              <w:spacing w:line="240" w:lineRule="atLeast"/>
              <w:jc w:val="center"/>
              <w:rPr>
                <w:rFonts w:ascii="Times New Roman" w:hAnsi="Times New Roman" w:cs="Times New Roman"/>
                <w:b/>
                <w:bCs/>
                <w:sz w:val="20"/>
                <w:szCs w:val="20"/>
                <w:lang w:eastAsia="lt-LT"/>
              </w:rPr>
            </w:pPr>
            <w:r w:rsidRPr="092ADAC3">
              <w:rPr>
                <w:rFonts w:ascii="Times New Roman" w:hAnsi="Times New Roman" w:cs="Times New Roman"/>
                <w:b/>
                <w:bCs/>
                <w:sz w:val="20"/>
                <w:szCs w:val="20"/>
              </w:rPr>
              <w:t xml:space="preserve">nuo pažangos uždavinio </w:t>
            </w:r>
            <w:r w:rsidR="007A74E2" w:rsidRPr="092ADAC3">
              <w:rPr>
                <w:rFonts w:ascii="Times New Roman" w:hAnsi="Times New Roman" w:cs="Times New Roman"/>
                <w:b/>
                <w:bCs/>
                <w:sz w:val="20"/>
                <w:szCs w:val="20"/>
              </w:rPr>
              <w:t>įgyvendinimo</w:t>
            </w:r>
            <w:r w:rsidRPr="092ADAC3">
              <w:rPr>
                <w:rFonts w:ascii="Times New Roman" w:hAnsi="Times New Roman" w:cs="Times New Roman"/>
                <w:b/>
                <w:bCs/>
                <w:sz w:val="20"/>
                <w:szCs w:val="20"/>
              </w:rPr>
              <w:t xml:space="preserve"> pradžios</w:t>
            </w:r>
          </w:p>
        </w:tc>
        <w:tc>
          <w:tcPr>
            <w:tcW w:w="2013" w:type="dxa"/>
            <w:gridSpan w:val="2"/>
            <w:tcBorders>
              <w:bottom w:val="single" w:sz="4" w:space="0" w:color="auto"/>
            </w:tcBorders>
            <w:shd w:val="clear" w:color="auto" w:fill="DEEAF6" w:themeFill="accent1" w:themeFillTint="33"/>
            <w:vAlign w:val="center"/>
          </w:tcPr>
          <w:p w14:paraId="296186FC" w14:textId="77777777" w:rsidR="00AA037B" w:rsidRPr="00775BCA" w:rsidRDefault="3A574DBE" w:rsidP="092ADAC3">
            <w:pPr>
              <w:spacing w:line="240" w:lineRule="atLeast"/>
              <w:jc w:val="center"/>
              <w:rPr>
                <w:rFonts w:ascii="Times New Roman" w:eastAsia="Calibri" w:hAnsi="Times New Roman" w:cs="Times New Roman"/>
                <w:b/>
                <w:bCs/>
                <w:color w:val="000000"/>
                <w:sz w:val="20"/>
                <w:szCs w:val="20"/>
                <w:lang w:eastAsia="lt-LT"/>
              </w:rPr>
            </w:pPr>
            <w:r w:rsidRPr="092ADAC3">
              <w:rPr>
                <w:rFonts w:ascii="Times New Roman" w:eastAsia="Calibri" w:hAnsi="Times New Roman" w:cs="Times New Roman"/>
                <w:b/>
                <w:bCs/>
                <w:color w:val="000000" w:themeColor="text1"/>
                <w:sz w:val="20"/>
                <w:szCs w:val="20"/>
              </w:rPr>
              <w:t xml:space="preserve">Faktinė </w:t>
            </w:r>
            <w:r w:rsidRPr="092ADAC3">
              <w:rPr>
                <w:rFonts w:ascii="Times New Roman" w:hAnsi="Times New Roman" w:cs="Times New Roman"/>
                <w:b/>
                <w:bCs/>
                <w:sz w:val="20"/>
                <w:szCs w:val="20"/>
              </w:rPr>
              <w:t>poveikio rodiklio reikšmė</w:t>
            </w:r>
          </w:p>
        </w:tc>
        <w:tc>
          <w:tcPr>
            <w:tcW w:w="992" w:type="dxa"/>
            <w:tcBorders>
              <w:bottom w:val="single" w:sz="4" w:space="0" w:color="auto"/>
            </w:tcBorders>
            <w:shd w:val="clear" w:color="auto" w:fill="DEEAF6" w:themeFill="accent1" w:themeFillTint="33"/>
            <w:vAlign w:val="center"/>
          </w:tcPr>
          <w:p w14:paraId="1D842B9E" w14:textId="77777777" w:rsidR="00AA037B" w:rsidRPr="00775BCA" w:rsidRDefault="3A574DBE" w:rsidP="092ADAC3">
            <w:pPr>
              <w:spacing w:line="240" w:lineRule="atLeast"/>
              <w:jc w:val="center"/>
              <w:rPr>
                <w:rFonts w:ascii="Times New Roman" w:hAnsi="Times New Roman" w:cs="Times New Roman"/>
                <w:b/>
                <w:bCs/>
                <w:sz w:val="20"/>
                <w:szCs w:val="20"/>
                <w:lang w:eastAsia="lt-LT"/>
              </w:rPr>
            </w:pPr>
            <w:r w:rsidRPr="092ADAC3">
              <w:rPr>
                <w:rFonts w:ascii="Times New Roman" w:hAnsi="Times New Roman" w:cs="Times New Roman"/>
                <w:b/>
                <w:bCs/>
                <w:sz w:val="20"/>
                <w:szCs w:val="20"/>
              </w:rPr>
              <w:t>Siektina poveikio rodiklio reikšmė</w:t>
            </w:r>
          </w:p>
        </w:tc>
        <w:tc>
          <w:tcPr>
            <w:tcW w:w="993" w:type="dxa"/>
            <w:tcBorders>
              <w:bottom w:val="single" w:sz="4" w:space="0" w:color="auto"/>
            </w:tcBorders>
            <w:shd w:val="clear" w:color="auto" w:fill="DEEAF6" w:themeFill="accent1" w:themeFillTint="33"/>
            <w:vAlign w:val="center"/>
          </w:tcPr>
          <w:p w14:paraId="728A1D78" w14:textId="77777777" w:rsidR="00AA037B" w:rsidRPr="00775BCA" w:rsidRDefault="3A574DBE" w:rsidP="092ADAC3">
            <w:pPr>
              <w:spacing w:line="240" w:lineRule="atLeast"/>
              <w:jc w:val="center"/>
              <w:rPr>
                <w:rFonts w:ascii="Times New Roman" w:hAnsi="Times New Roman" w:cs="Times New Roman"/>
                <w:b/>
                <w:bCs/>
                <w:sz w:val="20"/>
                <w:szCs w:val="20"/>
                <w:lang w:eastAsia="lt-LT"/>
              </w:rPr>
            </w:pPr>
            <w:r w:rsidRPr="092ADAC3">
              <w:rPr>
                <w:rFonts w:ascii="Times New Roman" w:hAnsi="Times New Roman" w:cs="Times New Roman"/>
                <w:b/>
                <w:bCs/>
                <w:sz w:val="20"/>
                <w:szCs w:val="20"/>
              </w:rPr>
              <w:t>Faktinė poveikio rodiklio reikšmė</w:t>
            </w:r>
          </w:p>
        </w:tc>
        <w:tc>
          <w:tcPr>
            <w:tcW w:w="992" w:type="dxa"/>
            <w:tcBorders>
              <w:bottom w:val="single" w:sz="4" w:space="0" w:color="auto"/>
            </w:tcBorders>
            <w:shd w:val="clear" w:color="auto" w:fill="DEEAF6" w:themeFill="accent1" w:themeFillTint="33"/>
            <w:vAlign w:val="center"/>
          </w:tcPr>
          <w:p w14:paraId="379972F7" w14:textId="77777777" w:rsidR="00AA037B" w:rsidRPr="00775BCA" w:rsidRDefault="3A574DBE" w:rsidP="092ADAC3">
            <w:pPr>
              <w:spacing w:line="240" w:lineRule="atLeast"/>
              <w:jc w:val="center"/>
              <w:rPr>
                <w:rFonts w:ascii="Times New Roman" w:hAnsi="Times New Roman" w:cs="Times New Roman"/>
                <w:b/>
                <w:bCs/>
                <w:sz w:val="20"/>
                <w:szCs w:val="20"/>
                <w:lang w:val="en-US" w:eastAsia="lt-LT"/>
              </w:rPr>
            </w:pPr>
            <w:r w:rsidRPr="092ADAC3">
              <w:rPr>
                <w:rFonts w:ascii="Times New Roman" w:hAnsi="Times New Roman" w:cs="Times New Roman"/>
                <w:b/>
                <w:bCs/>
                <w:sz w:val="20"/>
                <w:szCs w:val="20"/>
              </w:rPr>
              <w:t>Poveikio rodiklio pasieki-</w:t>
            </w:r>
            <w:proofErr w:type="spellStart"/>
            <w:r w:rsidRPr="092ADAC3">
              <w:rPr>
                <w:rFonts w:ascii="Times New Roman" w:hAnsi="Times New Roman" w:cs="Times New Roman"/>
                <w:b/>
                <w:bCs/>
                <w:sz w:val="20"/>
                <w:szCs w:val="20"/>
              </w:rPr>
              <w:t>mo</w:t>
            </w:r>
            <w:proofErr w:type="spellEnd"/>
            <w:r w:rsidRPr="092ADAC3">
              <w:rPr>
                <w:rFonts w:ascii="Times New Roman" w:hAnsi="Times New Roman" w:cs="Times New Roman"/>
                <w:b/>
                <w:bCs/>
                <w:sz w:val="20"/>
                <w:szCs w:val="20"/>
              </w:rPr>
              <w:t xml:space="preserve"> proc.</w:t>
            </w:r>
          </w:p>
        </w:tc>
        <w:tc>
          <w:tcPr>
            <w:tcW w:w="1389" w:type="dxa"/>
            <w:gridSpan w:val="2"/>
            <w:tcBorders>
              <w:bottom w:val="single" w:sz="4" w:space="0" w:color="auto"/>
            </w:tcBorders>
            <w:shd w:val="clear" w:color="auto" w:fill="DEEAF6" w:themeFill="accent1" w:themeFillTint="33"/>
            <w:vAlign w:val="center"/>
          </w:tcPr>
          <w:p w14:paraId="14DC36A3" w14:textId="77777777" w:rsidR="00AA037B" w:rsidRPr="00775BCA" w:rsidRDefault="3A574DBE" w:rsidP="092ADAC3">
            <w:pPr>
              <w:spacing w:line="240" w:lineRule="atLeast"/>
              <w:jc w:val="center"/>
              <w:rPr>
                <w:rFonts w:ascii="Times New Roman" w:hAnsi="Times New Roman" w:cs="Times New Roman"/>
                <w:b/>
                <w:bCs/>
                <w:sz w:val="20"/>
                <w:szCs w:val="20"/>
                <w:lang w:val="en-US" w:eastAsia="lt-LT"/>
              </w:rPr>
            </w:pPr>
            <w:r w:rsidRPr="092ADAC3">
              <w:rPr>
                <w:rFonts w:ascii="Times New Roman" w:hAnsi="Times New Roman" w:cs="Times New Roman"/>
                <w:b/>
                <w:bCs/>
                <w:sz w:val="20"/>
                <w:szCs w:val="20"/>
              </w:rPr>
              <w:t>Siektina poveikio rodiklio reikšmė</w:t>
            </w:r>
          </w:p>
        </w:tc>
      </w:tr>
      <w:tr w:rsidR="00AA037B" w:rsidRPr="00775BCA" w14:paraId="4DE61A8D" w14:textId="77777777" w:rsidTr="00514E14">
        <w:trPr>
          <w:trHeight w:val="845"/>
        </w:trPr>
        <w:tc>
          <w:tcPr>
            <w:tcW w:w="1419" w:type="dxa"/>
            <w:vMerge/>
            <w:vAlign w:val="center"/>
          </w:tcPr>
          <w:p w14:paraId="3D640D38" w14:textId="77777777" w:rsidR="00AA037B" w:rsidRPr="00775BCA" w:rsidRDefault="00AA037B" w:rsidP="00AA037B">
            <w:pPr>
              <w:spacing w:line="240" w:lineRule="atLeast"/>
              <w:jc w:val="center"/>
              <w:rPr>
                <w:rFonts w:ascii="Times New Roman" w:hAnsi="Times New Roman" w:cs="Times New Roman"/>
                <w:b/>
                <w:sz w:val="20"/>
                <w:szCs w:val="20"/>
                <w:lang w:eastAsia="lt-LT"/>
              </w:rPr>
            </w:pPr>
          </w:p>
        </w:tc>
        <w:tc>
          <w:tcPr>
            <w:tcW w:w="2409" w:type="dxa"/>
            <w:vMerge/>
            <w:vAlign w:val="center"/>
          </w:tcPr>
          <w:p w14:paraId="425BE3A0" w14:textId="77777777" w:rsidR="00AA037B" w:rsidRPr="00775BCA" w:rsidRDefault="00AA037B" w:rsidP="00AA037B">
            <w:pPr>
              <w:spacing w:line="240" w:lineRule="atLeast"/>
              <w:jc w:val="center"/>
              <w:rPr>
                <w:rFonts w:ascii="Times New Roman" w:hAnsi="Times New Roman" w:cs="Times New Roman"/>
                <w:b/>
                <w:sz w:val="20"/>
                <w:szCs w:val="20"/>
                <w:lang w:eastAsia="lt-LT"/>
              </w:rPr>
            </w:pPr>
          </w:p>
        </w:tc>
        <w:tc>
          <w:tcPr>
            <w:tcW w:w="1418" w:type="dxa"/>
            <w:tcBorders>
              <w:bottom w:val="single" w:sz="4" w:space="0" w:color="auto"/>
            </w:tcBorders>
            <w:shd w:val="clear" w:color="auto" w:fill="DEEAF6" w:themeFill="accent1" w:themeFillTint="33"/>
            <w:vAlign w:val="center"/>
          </w:tcPr>
          <w:p w14:paraId="5A385980" w14:textId="4E18355D" w:rsidR="00AA037B" w:rsidRPr="00775BCA" w:rsidRDefault="008E3EB4" w:rsidP="092ADAC3">
            <w:pPr>
              <w:spacing w:line="240" w:lineRule="atLeast"/>
              <w:ind w:right="-108"/>
              <w:jc w:val="center"/>
              <w:rPr>
                <w:rFonts w:ascii="Times New Roman" w:hAnsi="Times New Roman" w:cs="Times New Roman"/>
                <w:b/>
                <w:bCs/>
                <w:sz w:val="20"/>
                <w:szCs w:val="20"/>
                <w:lang w:eastAsia="lt-LT"/>
              </w:rPr>
            </w:pPr>
            <w:r w:rsidRPr="567EC346">
              <w:rPr>
                <w:rFonts w:ascii="Times New Roman" w:hAnsi="Times New Roman" w:cs="Times New Roman"/>
                <w:b/>
                <w:bCs/>
                <w:i/>
                <w:iCs/>
                <w:sz w:val="20"/>
                <w:szCs w:val="20"/>
              </w:rPr>
              <w:t>202</w:t>
            </w:r>
            <w:r>
              <w:rPr>
                <w:rFonts w:ascii="Times New Roman" w:hAnsi="Times New Roman" w:cs="Times New Roman"/>
                <w:b/>
                <w:bCs/>
                <w:i/>
                <w:iCs/>
                <w:sz w:val="20"/>
                <w:szCs w:val="20"/>
              </w:rPr>
              <w:t>5</w:t>
            </w:r>
            <w:r w:rsidRPr="567EC346">
              <w:rPr>
                <w:rFonts w:ascii="Times New Roman" w:hAnsi="Times New Roman" w:cs="Times New Roman"/>
                <w:b/>
                <w:bCs/>
                <w:sz w:val="20"/>
                <w:szCs w:val="20"/>
              </w:rPr>
              <w:t xml:space="preserve"> </w:t>
            </w:r>
            <w:r w:rsidR="356792FF" w:rsidRPr="567EC346">
              <w:rPr>
                <w:rFonts w:ascii="Times New Roman" w:hAnsi="Times New Roman" w:cs="Times New Roman"/>
                <w:b/>
                <w:bCs/>
                <w:sz w:val="20"/>
                <w:szCs w:val="20"/>
              </w:rPr>
              <w:t>m</w:t>
            </w:r>
            <w:r w:rsidR="006D4FF1" w:rsidRPr="567EC346">
              <w:rPr>
                <w:rFonts w:ascii="Times New Roman" w:hAnsi="Times New Roman" w:cs="Times New Roman"/>
                <w:b/>
                <w:bCs/>
                <w:sz w:val="20"/>
                <w:szCs w:val="20"/>
              </w:rPr>
              <w:t>.</w:t>
            </w:r>
          </w:p>
        </w:tc>
        <w:tc>
          <w:tcPr>
            <w:tcW w:w="1247" w:type="dxa"/>
            <w:tcBorders>
              <w:bottom w:val="single" w:sz="4" w:space="0" w:color="auto"/>
            </w:tcBorders>
            <w:shd w:val="clear" w:color="auto" w:fill="DEEAF6" w:themeFill="accent1" w:themeFillTint="33"/>
            <w:vAlign w:val="center"/>
          </w:tcPr>
          <w:p w14:paraId="3ECE5E50" w14:textId="50891E0A" w:rsidR="00AA037B" w:rsidRPr="00775BCA" w:rsidRDefault="008E3EB4" w:rsidP="092ADAC3">
            <w:pPr>
              <w:spacing w:line="240" w:lineRule="atLeast"/>
              <w:jc w:val="center"/>
              <w:rPr>
                <w:rFonts w:ascii="Times New Roman" w:hAnsi="Times New Roman" w:cs="Times New Roman"/>
                <w:b/>
                <w:bCs/>
                <w:sz w:val="20"/>
                <w:szCs w:val="20"/>
                <w:lang w:eastAsia="lt-LT"/>
              </w:rPr>
            </w:pPr>
            <w:r w:rsidRPr="567EC346">
              <w:rPr>
                <w:rFonts w:ascii="Times New Roman" w:hAnsi="Times New Roman" w:cs="Times New Roman"/>
                <w:b/>
                <w:bCs/>
                <w:i/>
                <w:iCs/>
                <w:sz w:val="20"/>
                <w:szCs w:val="20"/>
              </w:rPr>
              <w:t>202</w:t>
            </w:r>
            <w:r>
              <w:rPr>
                <w:rFonts w:ascii="Times New Roman" w:hAnsi="Times New Roman" w:cs="Times New Roman"/>
                <w:b/>
                <w:bCs/>
                <w:i/>
                <w:iCs/>
                <w:sz w:val="20"/>
                <w:szCs w:val="20"/>
              </w:rPr>
              <w:t>5</w:t>
            </w:r>
            <w:r w:rsidRPr="567EC346">
              <w:rPr>
                <w:rFonts w:ascii="Times New Roman" w:hAnsi="Times New Roman" w:cs="Times New Roman"/>
                <w:b/>
                <w:bCs/>
                <w:sz w:val="20"/>
                <w:szCs w:val="20"/>
              </w:rPr>
              <w:t xml:space="preserve"> </w:t>
            </w:r>
            <w:r w:rsidR="356792FF" w:rsidRPr="567EC346">
              <w:rPr>
                <w:rFonts w:ascii="Times New Roman" w:hAnsi="Times New Roman" w:cs="Times New Roman"/>
                <w:b/>
                <w:bCs/>
                <w:sz w:val="20"/>
                <w:szCs w:val="20"/>
              </w:rPr>
              <w:t>m</w:t>
            </w:r>
            <w:r w:rsidR="006D4FF1" w:rsidRPr="567EC346">
              <w:rPr>
                <w:rFonts w:ascii="Times New Roman" w:hAnsi="Times New Roman" w:cs="Times New Roman"/>
                <w:b/>
                <w:bCs/>
                <w:sz w:val="20"/>
                <w:szCs w:val="20"/>
              </w:rPr>
              <w:t>.</w:t>
            </w:r>
          </w:p>
        </w:tc>
        <w:tc>
          <w:tcPr>
            <w:tcW w:w="1163" w:type="dxa"/>
            <w:tcBorders>
              <w:bottom w:val="single" w:sz="4" w:space="0" w:color="auto"/>
            </w:tcBorders>
            <w:shd w:val="clear" w:color="auto" w:fill="DEEAF6" w:themeFill="accent1" w:themeFillTint="33"/>
            <w:vAlign w:val="center"/>
          </w:tcPr>
          <w:p w14:paraId="0E050299" w14:textId="0F57B741" w:rsidR="00AA037B" w:rsidRPr="00775BCA" w:rsidRDefault="008E3EB4" w:rsidP="092ADAC3">
            <w:pPr>
              <w:spacing w:line="240" w:lineRule="atLeast"/>
              <w:jc w:val="center"/>
              <w:rPr>
                <w:rFonts w:ascii="Times New Roman" w:hAnsi="Times New Roman" w:cs="Times New Roman"/>
                <w:b/>
                <w:bCs/>
                <w:sz w:val="20"/>
                <w:szCs w:val="20"/>
                <w:lang w:eastAsia="lt-LT"/>
              </w:rPr>
            </w:pPr>
            <w:r w:rsidRPr="567EC346">
              <w:rPr>
                <w:rFonts w:ascii="Times New Roman" w:hAnsi="Times New Roman" w:cs="Times New Roman"/>
                <w:b/>
                <w:bCs/>
                <w:i/>
                <w:iCs/>
                <w:sz w:val="20"/>
                <w:szCs w:val="20"/>
              </w:rPr>
              <w:t>20</w:t>
            </w:r>
            <w:r>
              <w:rPr>
                <w:rFonts w:ascii="Times New Roman" w:hAnsi="Times New Roman" w:cs="Times New Roman"/>
                <w:b/>
                <w:bCs/>
                <w:i/>
                <w:iCs/>
                <w:sz w:val="20"/>
                <w:szCs w:val="20"/>
              </w:rPr>
              <w:t>25</w:t>
            </w:r>
            <w:r w:rsidRPr="567EC346">
              <w:rPr>
                <w:rFonts w:ascii="Times New Roman" w:hAnsi="Times New Roman" w:cs="Times New Roman"/>
                <w:b/>
                <w:bCs/>
                <w:sz w:val="20"/>
                <w:szCs w:val="20"/>
              </w:rPr>
              <w:t xml:space="preserve"> </w:t>
            </w:r>
            <w:r w:rsidR="356792FF" w:rsidRPr="567EC346">
              <w:rPr>
                <w:rFonts w:ascii="Times New Roman" w:hAnsi="Times New Roman" w:cs="Times New Roman"/>
                <w:b/>
                <w:bCs/>
                <w:sz w:val="20"/>
                <w:szCs w:val="20"/>
              </w:rPr>
              <w:t>m</w:t>
            </w:r>
            <w:r w:rsidR="006D4FF1" w:rsidRPr="567EC346">
              <w:rPr>
                <w:rFonts w:ascii="Times New Roman" w:hAnsi="Times New Roman" w:cs="Times New Roman"/>
                <w:b/>
                <w:bCs/>
                <w:sz w:val="20"/>
                <w:szCs w:val="20"/>
              </w:rPr>
              <w:t>.</w:t>
            </w:r>
          </w:p>
        </w:tc>
        <w:tc>
          <w:tcPr>
            <w:tcW w:w="1105" w:type="dxa"/>
            <w:vMerge/>
            <w:vAlign w:val="center"/>
          </w:tcPr>
          <w:p w14:paraId="714171C2" w14:textId="77777777" w:rsidR="00AA037B" w:rsidRPr="00775BCA" w:rsidRDefault="00AA037B" w:rsidP="00AA037B">
            <w:pPr>
              <w:spacing w:line="240" w:lineRule="atLeast"/>
              <w:jc w:val="center"/>
              <w:rPr>
                <w:rFonts w:ascii="Times New Roman" w:hAnsi="Times New Roman" w:cs="Times New Roman"/>
                <w:b/>
                <w:sz w:val="20"/>
                <w:szCs w:val="20"/>
                <w:lang w:eastAsia="lt-LT"/>
              </w:rPr>
            </w:pPr>
          </w:p>
        </w:tc>
        <w:tc>
          <w:tcPr>
            <w:tcW w:w="1021" w:type="dxa"/>
            <w:tcBorders>
              <w:bottom w:val="single" w:sz="4" w:space="0" w:color="auto"/>
            </w:tcBorders>
            <w:shd w:val="clear" w:color="auto" w:fill="DEEAF6" w:themeFill="accent1" w:themeFillTint="33"/>
            <w:vAlign w:val="center"/>
          </w:tcPr>
          <w:p w14:paraId="76B618EF" w14:textId="53566BAC" w:rsidR="00AA037B" w:rsidRPr="00775BCA" w:rsidRDefault="49C76834" w:rsidP="092ADAC3">
            <w:pPr>
              <w:spacing w:line="240" w:lineRule="atLeast"/>
              <w:jc w:val="center"/>
              <w:rPr>
                <w:rFonts w:ascii="Times New Roman" w:eastAsia="Calibri" w:hAnsi="Times New Roman" w:cs="Times New Roman"/>
                <w:b/>
                <w:bCs/>
                <w:color w:val="000000"/>
                <w:sz w:val="20"/>
                <w:szCs w:val="20"/>
                <w:lang w:eastAsia="lt-LT"/>
              </w:rPr>
            </w:pPr>
            <w:r w:rsidRPr="070233B9">
              <w:rPr>
                <w:rFonts w:ascii="Times New Roman" w:eastAsia="Calibri" w:hAnsi="Times New Roman" w:cs="Times New Roman"/>
                <w:b/>
                <w:bCs/>
                <w:i/>
                <w:iCs/>
                <w:color w:val="000000" w:themeColor="text1"/>
                <w:sz w:val="20"/>
                <w:szCs w:val="20"/>
              </w:rPr>
              <w:t>202</w:t>
            </w:r>
            <w:r w:rsidR="6C04E18F" w:rsidRPr="070233B9">
              <w:rPr>
                <w:rFonts w:ascii="Times New Roman" w:eastAsia="Calibri" w:hAnsi="Times New Roman" w:cs="Times New Roman"/>
                <w:b/>
                <w:bCs/>
                <w:i/>
                <w:iCs/>
                <w:color w:val="000000" w:themeColor="text1"/>
                <w:sz w:val="20"/>
                <w:szCs w:val="20"/>
              </w:rPr>
              <w:t>3</w:t>
            </w:r>
            <w:r w:rsidR="3F8920E6" w:rsidRPr="070233B9">
              <w:rPr>
                <w:rFonts w:ascii="Times New Roman" w:eastAsia="Calibri" w:hAnsi="Times New Roman" w:cs="Times New Roman"/>
                <w:b/>
                <w:bCs/>
                <w:color w:val="000000" w:themeColor="text1"/>
                <w:sz w:val="20"/>
                <w:szCs w:val="20"/>
              </w:rPr>
              <w:t xml:space="preserve"> m</w:t>
            </w:r>
            <w:r w:rsidR="3DB29847" w:rsidRPr="070233B9">
              <w:rPr>
                <w:rFonts w:ascii="Times New Roman" w:eastAsia="Calibri" w:hAnsi="Times New Roman" w:cs="Times New Roman"/>
                <w:b/>
                <w:bCs/>
                <w:color w:val="000000" w:themeColor="text1"/>
                <w:sz w:val="20"/>
                <w:szCs w:val="20"/>
              </w:rPr>
              <w:t>.</w:t>
            </w:r>
          </w:p>
        </w:tc>
        <w:tc>
          <w:tcPr>
            <w:tcW w:w="992" w:type="dxa"/>
            <w:tcBorders>
              <w:bottom w:val="single" w:sz="4" w:space="0" w:color="auto"/>
            </w:tcBorders>
            <w:shd w:val="clear" w:color="auto" w:fill="DEEAF6" w:themeFill="accent1" w:themeFillTint="33"/>
            <w:vAlign w:val="center"/>
          </w:tcPr>
          <w:p w14:paraId="42E77399" w14:textId="356D7F2D" w:rsidR="00AA037B" w:rsidRPr="00775BCA" w:rsidRDefault="49C76834" w:rsidP="092ADAC3">
            <w:pPr>
              <w:spacing w:line="240" w:lineRule="atLeast"/>
              <w:jc w:val="center"/>
              <w:rPr>
                <w:rFonts w:ascii="Times New Roman" w:eastAsia="Calibri" w:hAnsi="Times New Roman" w:cs="Times New Roman"/>
                <w:b/>
                <w:bCs/>
                <w:color w:val="000000"/>
                <w:sz w:val="20"/>
                <w:szCs w:val="20"/>
                <w:lang w:eastAsia="lt-LT"/>
              </w:rPr>
            </w:pPr>
            <w:r w:rsidRPr="070233B9">
              <w:rPr>
                <w:rFonts w:ascii="Times New Roman" w:eastAsia="Calibri" w:hAnsi="Times New Roman" w:cs="Times New Roman"/>
                <w:b/>
                <w:bCs/>
                <w:i/>
                <w:iCs/>
                <w:color w:val="000000" w:themeColor="text1"/>
                <w:sz w:val="20"/>
                <w:szCs w:val="20"/>
              </w:rPr>
              <w:t>202</w:t>
            </w:r>
            <w:r w:rsidR="7115525C" w:rsidRPr="070233B9">
              <w:rPr>
                <w:rFonts w:ascii="Times New Roman" w:eastAsia="Calibri" w:hAnsi="Times New Roman" w:cs="Times New Roman"/>
                <w:b/>
                <w:bCs/>
                <w:i/>
                <w:iCs/>
                <w:color w:val="000000" w:themeColor="text1"/>
                <w:sz w:val="20"/>
                <w:szCs w:val="20"/>
              </w:rPr>
              <w:t>4</w:t>
            </w:r>
            <w:r w:rsidR="3F8920E6" w:rsidRPr="070233B9">
              <w:rPr>
                <w:rFonts w:ascii="Times New Roman" w:eastAsia="Calibri" w:hAnsi="Times New Roman" w:cs="Times New Roman"/>
                <w:b/>
                <w:bCs/>
                <w:color w:val="000000" w:themeColor="text1"/>
                <w:sz w:val="20"/>
                <w:szCs w:val="20"/>
              </w:rPr>
              <w:t xml:space="preserve"> m</w:t>
            </w:r>
            <w:r w:rsidR="3DB29847" w:rsidRPr="070233B9">
              <w:rPr>
                <w:rFonts w:ascii="Times New Roman" w:eastAsia="Calibri" w:hAnsi="Times New Roman" w:cs="Times New Roman"/>
                <w:b/>
                <w:bCs/>
                <w:color w:val="000000" w:themeColor="text1"/>
                <w:sz w:val="20"/>
                <w:szCs w:val="20"/>
              </w:rPr>
              <w:t>.</w:t>
            </w:r>
          </w:p>
        </w:tc>
        <w:tc>
          <w:tcPr>
            <w:tcW w:w="992" w:type="dxa"/>
            <w:tcBorders>
              <w:bottom w:val="single" w:sz="4" w:space="0" w:color="auto"/>
            </w:tcBorders>
            <w:shd w:val="clear" w:color="auto" w:fill="DEEAF6" w:themeFill="accent1" w:themeFillTint="33"/>
            <w:vAlign w:val="center"/>
          </w:tcPr>
          <w:p w14:paraId="444A8847" w14:textId="33CDCFDA" w:rsidR="00AA037B" w:rsidRPr="00775BCA" w:rsidRDefault="008E3EB4" w:rsidP="567EC346">
            <w:pPr>
              <w:spacing w:line="240" w:lineRule="atLeast"/>
              <w:jc w:val="center"/>
              <w:rPr>
                <w:rFonts w:ascii="Times New Roman" w:hAnsi="Times New Roman" w:cs="Times New Roman"/>
                <w:i/>
                <w:iCs/>
                <w:sz w:val="20"/>
                <w:szCs w:val="20"/>
                <w:lang w:eastAsia="lt-LT"/>
              </w:rPr>
            </w:pPr>
            <w:r w:rsidRPr="567EC346">
              <w:rPr>
                <w:rFonts w:ascii="Times New Roman" w:hAnsi="Times New Roman" w:cs="Times New Roman"/>
                <w:b/>
                <w:bCs/>
                <w:i/>
                <w:iCs/>
                <w:sz w:val="20"/>
                <w:szCs w:val="20"/>
              </w:rPr>
              <w:t>202</w:t>
            </w:r>
            <w:r>
              <w:rPr>
                <w:rFonts w:ascii="Times New Roman" w:hAnsi="Times New Roman" w:cs="Times New Roman"/>
                <w:b/>
                <w:bCs/>
                <w:i/>
                <w:iCs/>
                <w:sz w:val="20"/>
                <w:szCs w:val="20"/>
              </w:rPr>
              <w:t>5</w:t>
            </w:r>
            <w:r w:rsidRPr="567EC346">
              <w:rPr>
                <w:rFonts w:ascii="Times New Roman" w:hAnsi="Times New Roman" w:cs="Times New Roman"/>
                <w:b/>
                <w:bCs/>
                <w:i/>
                <w:iCs/>
                <w:sz w:val="20"/>
                <w:szCs w:val="20"/>
              </w:rPr>
              <w:t xml:space="preserve"> </w:t>
            </w:r>
            <w:r w:rsidR="2B6B87B6" w:rsidRPr="567EC346">
              <w:rPr>
                <w:rFonts w:ascii="Times New Roman" w:hAnsi="Times New Roman" w:cs="Times New Roman"/>
                <w:b/>
                <w:bCs/>
                <w:i/>
                <w:iCs/>
                <w:sz w:val="20"/>
                <w:szCs w:val="20"/>
              </w:rPr>
              <w:t>m</w:t>
            </w:r>
            <w:r w:rsidR="006D4FF1" w:rsidRPr="567EC346">
              <w:rPr>
                <w:rFonts w:ascii="Times New Roman" w:hAnsi="Times New Roman" w:cs="Times New Roman"/>
                <w:b/>
                <w:bCs/>
                <w:i/>
                <w:iCs/>
                <w:sz w:val="20"/>
                <w:szCs w:val="20"/>
              </w:rPr>
              <w:t>.</w:t>
            </w:r>
          </w:p>
        </w:tc>
        <w:tc>
          <w:tcPr>
            <w:tcW w:w="993" w:type="dxa"/>
            <w:tcBorders>
              <w:bottom w:val="single" w:sz="4" w:space="0" w:color="auto"/>
            </w:tcBorders>
            <w:shd w:val="clear" w:color="auto" w:fill="DEEAF6" w:themeFill="accent1" w:themeFillTint="33"/>
            <w:vAlign w:val="center"/>
          </w:tcPr>
          <w:p w14:paraId="7A5AE182" w14:textId="2487EDA6" w:rsidR="00AA037B" w:rsidRPr="00775BCA" w:rsidRDefault="008E3EB4" w:rsidP="006D4FF1">
            <w:pPr>
              <w:spacing w:line="240" w:lineRule="atLeast"/>
              <w:jc w:val="center"/>
              <w:rPr>
                <w:rFonts w:ascii="Times New Roman" w:hAnsi="Times New Roman" w:cs="Times New Roman"/>
                <w:sz w:val="20"/>
                <w:szCs w:val="20"/>
                <w:lang w:eastAsia="lt-LT"/>
              </w:rPr>
            </w:pPr>
            <w:r w:rsidRPr="567EC346">
              <w:rPr>
                <w:rFonts w:ascii="Times New Roman" w:hAnsi="Times New Roman" w:cs="Times New Roman"/>
                <w:b/>
                <w:bCs/>
                <w:i/>
                <w:iCs/>
                <w:sz w:val="20"/>
                <w:szCs w:val="20"/>
              </w:rPr>
              <w:t>202</w:t>
            </w:r>
            <w:r>
              <w:rPr>
                <w:rFonts w:ascii="Times New Roman" w:hAnsi="Times New Roman" w:cs="Times New Roman"/>
                <w:b/>
                <w:bCs/>
                <w:i/>
                <w:iCs/>
                <w:sz w:val="20"/>
                <w:szCs w:val="20"/>
              </w:rPr>
              <w:t>5</w:t>
            </w:r>
            <w:r w:rsidR="356792FF" w:rsidRPr="567EC346">
              <w:rPr>
                <w:rFonts w:ascii="Times New Roman" w:hAnsi="Times New Roman" w:cs="Times New Roman"/>
                <w:b/>
                <w:bCs/>
                <w:sz w:val="20"/>
                <w:szCs w:val="20"/>
              </w:rPr>
              <w:t>m</w:t>
            </w:r>
            <w:r w:rsidR="006D4FF1" w:rsidRPr="567EC346">
              <w:rPr>
                <w:rFonts w:ascii="Times New Roman" w:hAnsi="Times New Roman" w:cs="Times New Roman"/>
                <w:b/>
                <w:bCs/>
                <w:sz w:val="20"/>
                <w:szCs w:val="20"/>
              </w:rPr>
              <w:t>.</w:t>
            </w:r>
          </w:p>
        </w:tc>
        <w:tc>
          <w:tcPr>
            <w:tcW w:w="992" w:type="dxa"/>
            <w:tcBorders>
              <w:bottom w:val="single" w:sz="4" w:space="0" w:color="auto"/>
            </w:tcBorders>
            <w:shd w:val="clear" w:color="auto" w:fill="DEEAF6" w:themeFill="accent1" w:themeFillTint="33"/>
            <w:vAlign w:val="center"/>
          </w:tcPr>
          <w:p w14:paraId="0B8A30A4" w14:textId="05D0E2D4" w:rsidR="00AA037B" w:rsidRPr="00775BCA" w:rsidRDefault="008E3EB4" w:rsidP="006D4FF1">
            <w:pPr>
              <w:spacing w:line="240" w:lineRule="atLeast"/>
              <w:jc w:val="center"/>
              <w:rPr>
                <w:rFonts w:ascii="Times New Roman" w:hAnsi="Times New Roman" w:cs="Times New Roman"/>
                <w:sz w:val="20"/>
                <w:szCs w:val="20"/>
                <w:lang w:val="en-US" w:eastAsia="lt-LT"/>
              </w:rPr>
            </w:pPr>
            <w:r w:rsidRPr="567EC346">
              <w:rPr>
                <w:rFonts w:ascii="Times New Roman" w:hAnsi="Times New Roman" w:cs="Times New Roman"/>
                <w:b/>
                <w:bCs/>
                <w:i/>
                <w:iCs/>
                <w:sz w:val="20"/>
                <w:szCs w:val="20"/>
              </w:rPr>
              <w:t>202</w:t>
            </w:r>
            <w:r>
              <w:rPr>
                <w:rFonts w:ascii="Times New Roman" w:hAnsi="Times New Roman" w:cs="Times New Roman"/>
                <w:b/>
                <w:bCs/>
                <w:i/>
                <w:iCs/>
                <w:sz w:val="20"/>
                <w:szCs w:val="20"/>
              </w:rPr>
              <w:t>5</w:t>
            </w:r>
            <w:r w:rsidRPr="567EC346">
              <w:rPr>
                <w:rFonts w:ascii="Times New Roman" w:hAnsi="Times New Roman" w:cs="Times New Roman"/>
                <w:b/>
                <w:bCs/>
                <w:i/>
                <w:iCs/>
                <w:sz w:val="20"/>
                <w:szCs w:val="20"/>
              </w:rPr>
              <w:t xml:space="preserve"> </w:t>
            </w:r>
            <w:r w:rsidRPr="567EC346">
              <w:rPr>
                <w:rFonts w:ascii="Times New Roman" w:hAnsi="Times New Roman" w:cs="Times New Roman"/>
                <w:b/>
                <w:bCs/>
                <w:sz w:val="20"/>
                <w:szCs w:val="20"/>
              </w:rPr>
              <w:t xml:space="preserve"> </w:t>
            </w:r>
            <w:r w:rsidR="356792FF" w:rsidRPr="567EC346">
              <w:rPr>
                <w:rFonts w:ascii="Times New Roman" w:hAnsi="Times New Roman" w:cs="Times New Roman"/>
                <w:b/>
                <w:bCs/>
                <w:sz w:val="20"/>
                <w:szCs w:val="20"/>
              </w:rPr>
              <w:t>m</w:t>
            </w:r>
            <w:r w:rsidR="006D4FF1" w:rsidRPr="567EC346">
              <w:rPr>
                <w:rFonts w:ascii="Times New Roman" w:hAnsi="Times New Roman" w:cs="Times New Roman"/>
                <w:b/>
                <w:bCs/>
                <w:sz w:val="20"/>
                <w:szCs w:val="20"/>
              </w:rPr>
              <w:t>.</w:t>
            </w:r>
          </w:p>
        </w:tc>
        <w:tc>
          <w:tcPr>
            <w:tcW w:w="709" w:type="dxa"/>
            <w:tcBorders>
              <w:bottom w:val="single" w:sz="4" w:space="0" w:color="auto"/>
            </w:tcBorders>
            <w:shd w:val="clear" w:color="auto" w:fill="DEEAF6" w:themeFill="accent1" w:themeFillTint="33"/>
            <w:vAlign w:val="center"/>
          </w:tcPr>
          <w:p w14:paraId="4F78B328" w14:textId="0E12D0F6" w:rsidR="00AA037B" w:rsidRPr="00B356E4" w:rsidRDefault="008E3EB4" w:rsidP="092ADAC3">
            <w:pPr>
              <w:spacing w:line="240" w:lineRule="atLeast"/>
              <w:ind w:left="-108" w:right="-108"/>
              <w:jc w:val="center"/>
              <w:rPr>
                <w:rFonts w:ascii="Times New Roman" w:hAnsi="Times New Roman" w:cs="Times New Roman"/>
                <w:b/>
                <w:bCs/>
                <w:sz w:val="20"/>
                <w:szCs w:val="20"/>
                <w:lang w:val="en-US" w:eastAsia="lt-LT"/>
              </w:rPr>
            </w:pPr>
            <w:r w:rsidRPr="00B356E4">
              <w:rPr>
                <w:rFonts w:ascii="Times New Roman" w:hAnsi="Times New Roman" w:cs="Times New Roman"/>
                <w:b/>
                <w:bCs/>
                <w:sz w:val="20"/>
                <w:szCs w:val="20"/>
              </w:rPr>
              <w:t>202</w:t>
            </w:r>
            <w:r w:rsidR="00FC4D3D">
              <w:rPr>
                <w:rFonts w:ascii="Times New Roman" w:hAnsi="Times New Roman" w:cs="Times New Roman"/>
                <w:b/>
                <w:bCs/>
                <w:sz w:val="20"/>
                <w:szCs w:val="20"/>
              </w:rPr>
              <w:t>5</w:t>
            </w:r>
            <w:r w:rsidR="3A574DBE" w:rsidRPr="00B356E4">
              <w:rPr>
                <w:rFonts w:ascii="Times New Roman" w:hAnsi="Times New Roman" w:cs="Times New Roman"/>
                <w:b/>
                <w:bCs/>
                <w:sz w:val="20"/>
                <w:szCs w:val="20"/>
              </w:rPr>
              <w:t>m.</w:t>
            </w:r>
          </w:p>
        </w:tc>
        <w:tc>
          <w:tcPr>
            <w:tcW w:w="680" w:type="dxa"/>
            <w:tcBorders>
              <w:bottom w:val="single" w:sz="4" w:space="0" w:color="auto"/>
            </w:tcBorders>
            <w:shd w:val="clear" w:color="auto" w:fill="DEEAF6" w:themeFill="accent1" w:themeFillTint="33"/>
            <w:vAlign w:val="center"/>
          </w:tcPr>
          <w:p w14:paraId="647DEC7B" w14:textId="1B4116A1" w:rsidR="00AA037B" w:rsidRPr="00B356E4" w:rsidRDefault="55BAABAE" w:rsidP="070233B9">
            <w:pPr>
              <w:spacing w:line="240" w:lineRule="atLeast"/>
              <w:ind w:left="-108" w:right="-108"/>
              <w:jc w:val="center"/>
              <w:rPr>
                <w:rFonts w:ascii="Times New Roman" w:hAnsi="Times New Roman" w:cs="Times New Roman"/>
                <w:b/>
                <w:bCs/>
                <w:sz w:val="20"/>
                <w:szCs w:val="20"/>
                <w:lang w:val="en-US" w:eastAsia="lt-LT"/>
              </w:rPr>
            </w:pPr>
            <w:r w:rsidRPr="00B356E4">
              <w:rPr>
                <w:rFonts w:ascii="Times New Roman" w:hAnsi="Times New Roman" w:cs="Times New Roman"/>
                <w:b/>
                <w:bCs/>
                <w:sz w:val="20"/>
                <w:szCs w:val="20"/>
              </w:rPr>
              <w:t>20</w:t>
            </w:r>
            <w:r w:rsidR="00FC4D3D">
              <w:rPr>
                <w:rFonts w:ascii="Times New Roman" w:hAnsi="Times New Roman" w:cs="Times New Roman"/>
                <w:b/>
                <w:bCs/>
                <w:sz w:val="20"/>
                <w:szCs w:val="20"/>
              </w:rPr>
              <w:t>30</w:t>
            </w:r>
            <w:r w:rsidRPr="00B356E4">
              <w:rPr>
                <w:rFonts w:ascii="Times New Roman" w:hAnsi="Times New Roman" w:cs="Times New Roman"/>
                <w:b/>
                <w:bCs/>
                <w:sz w:val="20"/>
                <w:szCs w:val="20"/>
              </w:rPr>
              <w:t xml:space="preserve"> m.</w:t>
            </w:r>
          </w:p>
        </w:tc>
      </w:tr>
      <w:tr w:rsidR="00AA037B" w:rsidRPr="00775BCA" w14:paraId="1F0EEEB9" w14:textId="77777777" w:rsidTr="00514E14">
        <w:trPr>
          <w:trHeight w:val="144"/>
        </w:trPr>
        <w:tc>
          <w:tcPr>
            <w:tcW w:w="1419" w:type="dxa"/>
            <w:shd w:val="clear" w:color="auto" w:fill="DEEAF6" w:themeFill="accent1" w:themeFillTint="33"/>
            <w:vAlign w:val="center"/>
          </w:tcPr>
          <w:p w14:paraId="0F957455" w14:textId="77777777" w:rsidR="00AA037B" w:rsidRPr="00775BCA" w:rsidRDefault="3A574DBE" w:rsidP="092ADAC3">
            <w:pPr>
              <w:spacing w:line="240" w:lineRule="atLeast"/>
              <w:jc w:val="center"/>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1</w:t>
            </w:r>
          </w:p>
        </w:tc>
        <w:tc>
          <w:tcPr>
            <w:tcW w:w="2409" w:type="dxa"/>
            <w:shd w:val="clear" w:color="auto" w:fill="DEEAF6" w:themeFill="accent1" w:themeFillTint="33"/>
            <w:vAlign w:val="center"/>
          </w:tcPr>
          <w:p w14:paraId="739CA3F0" w14:textId="77777777" w:rsidR="00AA037B" w:rsidRPr="00925F82" w:rsidRDefault="3A574DBE" w:rsidP="092ADAC3">
            <w:pPr>
              <w:spacing w:line="240" w:lineRule="atLeast"/>
              <w:jc w:val="center"/>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2</w:t>
            </w:r>
          </w:p>
        </w:tc>
        <w:tc>
          <w:tcPr>
            <w:tcW w:w="1418" w:type="dxa"/>
            <w:shd w:val="clear" w:color="auto" w:fill="DEEAF6" w:themeFill="accent1" w:themeFillTint="33"/>
            <w:vAlign w:val="center"/>
          </w:tcPr>
          <w:p w14:paraId="5B4A1DD4" w14:textId="77777777" w:rsidR="00AA037B" w:rsidRPr="000331C3" w:rsidRDefault="3A574DBE" w:rsidP="092ADAC3">
            <w:pPr>
              <w:spacing w:line="240" w:lineRule="atLeast"/>
              <w:jc w:val="center"/>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3</w:t>
            </w:r>
          </w:p>
        </w:tc>
        <w:tc>
          <w:tcPr>
            <w:tcW w:w="1247" w:type="dxa"/>
            <w:shd w:val="clear" w:color="auto" w:fill="DEEAF6" w:themeFill="accent1" w:themeFillTint="33"/>
            <w:vAlign w:val="center"/>
          </w:tcPr>
          <w:p w14:paraId="456740BB" w14:textId="77777777" w:rsidR="00AA037B" w:rsidRPr="00775BCA" w:rsidRDefault="3A574DBE" w:rsidP="092ADAC3">
            <w:pPr>
              <w:spacing w:line="240" w:lineRule="atLeast"/>
              <w:jc w:val="center"/>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4</w:t>
            </w:r>
          </w:p>
        </w:tc>
        <w:tc>
          <w:tcPr>
            <w:tcW w:w="1163" w:type="dxa"/>
            <w:shd w:val="clear" w:color="auto" w:fill="DEEAF6" w:themeFill="accent1" w:themeFillTint="33"/>
            <w:vAlign w:val="center"/>
          </w:tcPr>
          <w:p w14:paraId="252B234C" w14:textId="77777777" w:rsidR="00AA037B" w:rsidRPr="00775BCA" w:rsidRDefault="3A574DBE" w:rsidP="092ADAC3">
            <w:pPr>
              <w:spacing w:line="240" w:lineRule="atLeast"/>
              <w:jc w:val="center"/>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5</w:t>
            </w:r>
          </w:p>
        </w:tc>
        <w:tc>
          <w:tcPr>
            <w:tcW w:w="1105" w:type="dxa"/>
            <w:shd w:val="clear" w:color="auto" w:fill="DEEAF6" w:themeFill="accent1" w:themeFillTint="33"/>
            <w:vAlign w:val="center"/>
          </w:tcPr>
          <w:p w14:paraId="02F5DA87" w14:textId="77777777" w:rsidR="00AA037B" w:rsidRPr="00775BCA" w:rsidRDefault="3A574DBE" w:rsidP="092ADAC3">
            <w:pPr>
              <w:spacing w:line="240" w:lineRule="atLeast"/>
              <w:jc w:val="center"/>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6</w:t>
            </w:r>
          </w:p>
        </w:tc>
        <w:tc>
          <w:tcPr>
            <w:tcW w:w="1021" w:type="dxa"/>
            <w:shd w:val="clear" w:color="auto" w:fill="DEEAF6" w:themeFill="accent1" w:themeFillTint="33"/>
            <w:vAlign w:val="center"/>
          </w:tcPr>
          <w:p w14:paraId="2CCD1E33" w14:textId="77777777" w:rsidR="00AA037B" w:rsidRPr="00775BCA" w:rsidRDefault="3A574DBE" w:rsidP="092ADAC3">
            <w:pPr>
              <w:spacing w:line="240" w:lineRule="atLeast"/>
              <w:jc w:val="center"/>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7</w:t>
            </w:r>
          </w:p>
        </w:tc>
        <w:tc>
          <w:tcPr>
            <w:tcW w:w="992" w:type="dxa"/>
            <w:shd w:val="clear" w:color="auto" w:fill="DEEAF6" w:themeFill="accent1" w:themeFillTint="33"/>
            <w:vAlign w:val="center"/>
          </w:tcPr>
          <w:p w14:paraId="540C4400" w14:textId="77777777" w:rsidR="00AA037B" w:rsidRPr="00775BCA" w:rsidRDefault="3A574DBE" w:rsidP="092ADAC3">
            <w:pPr>
              <w:spacing w:line="240" w:lineRule="atLeast"/>
              <w:jc w:val="center"/>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8</w:t>
            </w:r>
          </w:p>
        </w:tc>
        <w:tc>
          <w:tcPr>
            <w:tcW w:w="992" w:type="dxa"/>
            <w:shd w:val="clear" w:color="auto" w:fill="DEEAF6" w:themeFill="accent1" w:themeFillTint="33"/>
            <w:vAlign w:val="center"/>
          </w:tcPr>
          <w:p w14:paraId="75998AB0" w14:textId="77777777" w:rsidR="00AA037B" w:rsidRPr="00775BCA" w:rsidRDefault="3A574DBE" w:rsidP="092ADAC3">
            <w:pPr>
              <w:spacing w:line="240" w:lineRule="atLeast"/>
              <w:jc w:val="center"/>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9</w:t>
            </w:r>
          </w:p>
        </w:tc>
        <w:tc>
          <w:tcPr>
            <w:tcW w:w="993" w:type="dxa"/>
            <w:shd w:val="clear" w:color="auto" w:fill="DEEAF6" w:themeFill="accent1" w:themeFillTint="33"/>
            <w:vAlign w:val="center"/>
          </w:tcPr>
          <w:p w14:paraId="1E6A8836" w14:textId="77777777" w:rsidR="00AA037B" w:rsidRPr="00775BCA" w:rsidRDefault="3A574DBE" w:rsidP="092ADAC3">
            <w:pPr>
              <w:spacing w:line="240" w:lineRule="atLeast"/>
              <w:jc w:val="center"/>
              <w:rPr>
                <w:rFonts w:ascii="Times New Roman" w:hAnsi="Times New Roman" w:cs="Times New Roman"/>
                <w:b/>
                <w:bCs/>
                <w:color w:val="000000"/>
                <w:sz w:val="20"/>
                <w:szCs w:val="20"/>
                <w:lang w:val="en-US" w:eastAsia="lt-LT"/>
              </w:rPr>
            </w:pPr>
            <w:r w:rsidRPr="092ADAC3">
              <w:rPr>
                <w:rFonts w:ascii="Times New Roman" w:hAnsi="Times New Roman" w:cs="Times New Roman"/>
                <w:b/>
                <w:bCs/>
                <w:color w:val="000000" w:themeColor="text1"/>
                <w:sz w:val="20"/>
                <w:szCs w:val="20"/>
              </w:rPr>
              <w:t>10</w:t>
            </w:r>
          </w:p>
        </w:tc>
        <w:tc>
          <w:tcPr>
            <w:tcW w:w="992" w:type="dxa"/>
            <w:shd w:val="clear" w:color="auto" w:fill="DEEAF6" w:themeFill="accent1" w:themeFillTint="33"/>
            <w:vAlign w:val="center"/>
          </w:tcPr>
          <w:p w14:paraId="77F84645" w14:textId="77777777" w:rsidR="00AA037B" w:rsidRPr="00775BCA" w:rsidRDefault="3A574DBE" w:rsidP="092ADAC3">
            <w:pPr>
              <w:spacing w:line="240" w:lineRule="atLeast"/>
              <w:jc w:val="center"/>
              <w:rPr>
                <w:rFonts w:ascii="Times New Roman" w:hAnsi="Times New Roman" w:cs="Times New Roman"/>
                <w:b/>
                <w:bCs/>
                <w:color w:val="000000"/>
                <w:sz w:val="20"/>
                <w:szCs w:val="20"/>
                <w:lang w:val="en-US" w:eastAsia="lt-LT"/>
              </w:rPr>
            </w:pPr>
            <w:r w:rsidRPr="092ADAC3">
              <w:rPr>
                <w:rFonts w:ascii="Times New Roman" w:hAnsi="Times New Roman" w:cs="Times New Roman"/>
                <w:b/>
                <w:bCs/>
                <w:color w:val="000000" w:themeColor="text1"/>
                <w:sz w:val="20"/>
                <w:szCs w:val="20"/>
              </w:rPr>
              <w:t>11</w:t>
            </w:r>
          </w:p>
        </w:tc>
        <w:tc>
          <w:tcPr>
            <w:tcW w:w="709" w:type="dxa"/>
            <w:shd w:val="clear" w:color="auto" w:fill="DEEAF6" w:themeFill="accent1" w:themeFillTint="33"/>
            <w:vAlign w:val="center"/>
          </w:tcPr>
          <w:p w14:paraId="0AACD049" w14:textId="77777777" w:rsidR="00AA037B" w:rsidRPr="00775BCA" w:rsidRDefault="3A574DBE" w:rsidP="092ADAC3">
            <w:pPr>
              <w:spacing w:line="240" w:lineRule="atLeast"/>
              <w:jc w:val="center"/>
              <w:rPr>
                <w:rFonts w:ascii="Times New Roman" w:hAnsi="Times New Roman" w:cs="Times New Roman"/>
                <w:b/>
                <w:bCs/>
                <w:color w:val="000000"/>
                <w:sz w:val="20"/>
                <w:szCs w:val="20"/>
                <w:lang w:val="en-US" w:eastAsia="lt-LT"/>
              </w:rPr>
            </w:pPr>
            <w:r w:rsidRPr="092ADAC3">
              <w:rPr>
                <w:rFonts w:ascii="Times New Roman" w:hAnsi="Times New Roman" w:cs="Times New Roman"/>
                <w:b/>
                <w:bCs/>
                <w:color w:val="000000" w:themeColor="text1"/>
                <w:sz w:val="20"/>
                <w:szCs w:val="20"/>
              </w:rPr>
              <w:t>12</w:t>
            </w:r>
          </w:p>
        </w:tc>
        <w:tc>
          <w:tcPr>
            <w:tcW w:w="680" w:type="dxa"/>
            <w:shd w:val="clear" w:color="auto" w:fill="DEEAF6" w:themeFill="accent1" w:themeFillTint="33"/>
            <w:vAlign w:val="center"/>
          </w:tcPr>
          <w:p w14:paraId="22BF46E1" w14:textId="77777777" w:rsidR="00AA037B" w:rsidRPr="00775BCA" w:rsidRDefault="3A574DBE" w:rsidP="092ADAC3">
            <w:pPr>
              <w:spacing w:line="240" w:lineRule="atLeast"/>
              <w:jc w:val="center"/>
              <w:rPr>
                <w:rFonts w:ascii="Times New Roman" w:hAnsi="Times New Roman" w:cs="Times New Roman"/>
                <w:b/>
                <w:bCs/>
                <w:color w:val="000000"/>
                <w:sz w:val="20"/>
                <w:szCs w:val="20"/>
                <w:lang w:val="en-US" w:eastAsia="lt-LT"/>
              </w:rPr>
            </w:pPr>
            <w:r w:rsidRPr="092ADAC3">
              <w:rPr>
                <w:rFonts w:ascii="Times New Roman" w:hAnsi="Times New Roman" w:cs="Times New Roman"/>
                <w:b/>
                <w:bCs/>
                <w:color w:val="000000" w:themeColor="text1"/>
                <w:sz w:val="20"/>
                <w:szCs w:val="20"/>
              </w:rPr>
              <w:t>13</w:t>
            </w:r>
          </w:p>
        </w:tc>
      </w:tr>
      <w:tr w:rsidR="00CE5F30" w:rsidRPr="00775BCA" w14:paraId="5D840832" w14:textId="77777777" w:rsidTr="00514E14">
        <w:trPr>
          <w:trHeight w:val="375"/>
        </w:trPr>
        <w:tc>
          <w:tcPr>
            <w:tcW w:w="1419" w:type="dxa"/>
            <w:vAlign w:val="center"/>
          </w:tcPr>
          <w:p w14:paraId="1AE8DF8A" w14:textId="77777777" w:rsidR="00CE5F30" w:rsidRPr="00775BCA" w:rsidRDefault="39151B02" w:rsidP="00CE5F30">
            <w:pPr>
              <w:spacing w:line="240" w:lineRule="atLeast"/>
              <w:rPr>
                <w:rFonts w:ascii="Times New Roman" w:hAnsi="Times New Roman" w:cs="Times New Roman"/>
                <w:color w:val="000000"/>
                <w:sz w:val="20"/>
                <w:szCs w:val="20"/>
                <w:lang w:eastAsia="lt-LT"/>
              </w:rPr>
            </w:pPr>
            <w:r w:rsidRPr="092ADAC3">
              <w:rPr>
                <w:rFonts w:ascii="Times New Roman" w:hAnsi="Times New Roman" w:cs="Times New Roman"/>
                <w:b/>
                <w:bCs/>
                <w:color w:val="000000" w:themeColor="text1"/>
                <w:sz w:val="20"/>
                <w:szCs w:val="20"/>
              </w:rPr>
              <w:t>01</w:t>
            </w:r>
          </w:p>
        </w:tc>
        <w:tc>
          <w:tcPr>
            <w:tcW w:w="2409" w:type="dxa"/>
            <w:noWrap/>
            <w:vAlign w:val="center"/>
          </w:tcPr>
          <w:p w14:paraId="72D46AAD" w14:textId="77777777" w:rsidR="00CE5F30" w:rsidRPr="000B3045" w:rsidRDefault="39151B02" w:rsidP="092ADAC3">
            <w:pPr>
              <w:spacing w:line="240" w:lineRule="atLeast"/>
              <w:rPr>
                <w:rFonts w:ascii="Times New Roman" w:hAnsi="Times New Roman" w:cs="Times New Roman"/>
                <w:b/>
                <w:bCs/>
                <w:color w:val="000000"/>
                <w:sz w:val="20"/>
                <w:szCs w:val="20"/>
                <w:lang w:eastAsia="lt-LT"/>
              </w:rPr>
            </w:pPr>
            <w:r w:rsidRPr="092ADAC3">
              <w:rPr>
                <w:rFonts w:ascii="Times New Roman" w:hAnsi="Times New Roman" w:cs="Times New Roman"/>
                <w:b/>
                <w:bCs/>
                <w:sz w:val="20"/>
                <w:szCs w:val="20"/>
              </w:rPr>
              <w:t>VALSTYBĖS VALDYMAS REGIONINĖ POLITIKA IR VIEŠASIS ADMINISTRAVIMAS</w:t>
            </w:r>
          </w:p>
        </w:tc>
        <w:tc>
          <w:tcPr>
            <w:tcW w:w="1418" w:type="dxa"/>
            <w:vAlign w:val="center"/>
          </w:tcPr>
          <w:p w14:paraId="5A0D5BDE"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1247" w:type="dxa"/>
            <w:noWrap/>
            <w:vAlign w:val="center"/>
          </w:tcPr>
          <w:p w14:paraId="4D8A3894" w14:textId="77777777" w:rsidR="00CE5F30" w:rsidRPr="00925F82" w:rsidRDefault="00CE5F30" w:rsidP="00CE5F30">
            <w:pPr>
              <w:spacing w:line="240" w:lineRule="atLeast"/>
              <w:jc w:val="center"/>
              <w:rPr>
                <w:rFonts w:ascii="Times New Roman" w:hAnsi="Times New Roman" w:cs="Times New Roman"/>
                <w:color w:val="000000"/>
                <w:sz w:val="20"/>
                <w:szCs w:val="20"/>
                <w:lang w:eastAsia="lt-LT"/>
              </w:rPr>
            </w:pPr>
          </w:p>
        </w:tc>
        <w:tc>
          <w:tcPr>
            <w:tcW w:w="1163" w:type="dxa"/>
            <w:vAlign w:val="center"/>
          </w:tcPr>
          <w:p w14:paraId="4AA952F1" w14:textId="77777777" w:rsidR="00CE5F30" w:rsidRPr="000331C3" w:rsidRDefault="00CE5F30" w:rsidP="00CE5F30">
            <w:pPr>
              <w:spacing w:line="240" w:lineRule="atLeast"/>
              <w:jc w:val="center"/>
              <w:rPr>
                <w:rFonts w:ascii="Times New Roman" w:hAnsi="Times New Roman" w:cs="Times New Roman"/>
                <w:color w:val="000000"/>
                <w:sz w:val="20"/>
                <w:szCs w:val="20"/>
                <w:lang w:eastAsia="lt-LT"/>
              </w:rPr>
            </w:pPr>
          </w:p>
        </w:tc>
        <w:tc>
          <w:tcPr>
            <w:tcW w:w="1105" w:type="dxa"/>
            <w:noWrap/>
            <w:vAlign w:val="center"/>
          </w:tcPr>
          <w:p w14:paraId="5CDFC4D6"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1021" w:type="dxa"/>
            <w:shd w:val="clear" w:color="auto" w:fill="BFBFBF" w:themeFill="background1" w:themeFillShade="BF"/>
            <w:vAlign w:val="center"/>
          </w:tcPr>
          <w:p w14:paraId="0F8F250E"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018D3F5D"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noWrap/>
            <w:vAlign w:val="center"/>
          </w:tcPr>
          <w:p w14:paraId="22C48BE2"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993" w:type="dxa"/>
            <w:shd w:val="clear" w:color="auto" w:fill="BFBFBF" w:themeFill="background1" w:themeFillShade="BF"/>
            <w:vAlign w:val="center"/>
          </w:tcPr>
          <w:p w14:paraId="69372050"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02DF7FC9"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709" w:type="dxa"/>
            <w:shd w:val="clear" w:color="auto" w:fill="BFBFBF" w:themeFill="background1" w:themeFillShade="BF"/>
            <w:vAlign w:val="center"/>
          </w:tcPr>
          <w:p w14:paraId="5335EE3A"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680" w:type="dxa"/>
            <w:shd w:val="clear" w:color="auto" w:fill="BFBFBF" w:themeFill="background1" w:themeFillShade="BF"/>
            <w:vAlign w:val="center"/>
          </w:tcPr>
          <w:p w14:paraId="5701075B"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r>
      <w:tr w:rsidR="00CE5F30" w:rsidRPr="00775BCA" w14:paraId="31B4D73E" w14:textId="77777777" w:rsidTr="00514E14">
        <w:trPr>
          <w:trHeight w:val="375"/>
        </w:trPr>
        <w:tc>
          <w:tcPr>
            <w:tcW w:w="1419" w:type="dxa"/>
            <w:vAlign w:val="center"/>
          </w:tcPr>
          <w:p w14:paraId="2D3B53B6" w14:textId="77777777" w:rsidR="00CE5F30" w:rsidRPr="00775BCA" w:rsidRDefault="39151B02" w:rsidP="092ADAC3">
            <w:pPr>
              <w:spacing w:line="240" w:lineRule="atLeast"/>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01-001</w:t>
            </w:r>
          </w:p>
        </w:tc>
        <w:tc>
          <w:tcPr>
            <w:tcW w:w="2409" w:type="dxa"/>
            <w:noWrap/>
            <w:vAlign w:val="center"/>
          </w:tcPr>
          <w:p w14:paraId="58073605" w14:textId="77777777" w:rsidR="00CE5F30" w:rsidRPr="000B3045" w:rsidRDefault="39151B02" w:rsidP="092ADAC3">
            <w:pPr>
              <w:spacing w:line="240" w:lineRule="atLeast"/>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 xml:space="preserve">Vidaus reikalų </w:t>
            </w:r>
            <w:r w:rsidRPr="092ADAC3">
              <w:rPr>
                <w:rFonts w:ascii="Times New Roman" w:hAnsi="Times New Roman" w:cs="Times New Roman"/>
                <w:b/>
                <w:bCs/>
                <w:sz w:val="20"/>
                <w:szCs w:val="20"/>
              </w:rPr>
              <w:t>ministrui pavestų valdymo sričių politikos formavimas ir vidaus reikalų infrastruktūros bei paslaugų valdymas</w:t>
            </w:r>
          </w:p>
        </w:tc>
        <w:tc>
          <w:tcPr>
            <w:tcW w:w="1418" w:type="dxa"/>
            <w:vAlign w:val="center"/>
          </w:tcPr>
          <w:p w14:paraId="27B053E8"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1247" w:type="dxa"/>
            <w:noWrap/>
            <w:vAlign w:val="center"/>
          </w:tcPr>
          <w:p w14:paraId="328FA8F3" w14:textId="77777777" w:rsidR="00CE5F30" w:rsidRPr="00925F82" w:rsidRDefault="00CE5F30" w:rsidP="00CE5F30">
            <w:pPr>
              <w:spacing w:line="240" w:lineRule="atLeast"/>
              <w:jc w:val="center"/>
              <w:rPr>
                <w:rFonts w:ascii="Times New Roman" w:hAnsi="Times New Roman" w:cs="Times New Roman"/>
                <w:color w:val="000000"/>
                <w:sz w:val="20"/>
                <w:szCs w:val="20"/>
                <w:lang w:eastAsia="lt-LT"/>
              </w:rPr>
            </w:pPr>
          </w:p>
        </w:tc>
        <w:tc>
          <w:tcPr>
            <w:tcW w:w="1163" w:type="dxa"/>
            <w:vAlign w:val="center"/>
          </w:tcPr>
          <w:p w14:paraId="4C51388F" w14:textId="77777777" w:rsidR="00CE5F30" w:rsidRPr="000331C3" w:rsidRDefault="00CE5F30" w:rsidP="00CE5F30">
            <w:pPr>
              <w:spacing w:line="240" w:lineRule="atLeast"/>
              <w:jc w:val="center"/>
              <w:rPr>
                <w:rFonts w:ascii="Times New Roman" w:hAnsi="Times New Roman" w:cs="Times New Roman"/>
                <w:color w:val="000000"/>
                <w:sz w:val="20"/>
                <w:szCs w:val="20"/>
                <w:lang w:eastAsia="lt-LT"/>
              </w:rPr>
            </w:pPr>
          </w:p>
        </w:tc>
        <w:tc>
          <w:tcPr>
            <w:tcW w:w="1105" w:type="dxa"/>
            <w:noWrap/>
            <w:vAlign w:val="center"/>
          </w:tcPr>
          <w:p w14:paraId="62F3AE53"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1021" w:type="dxa"/>
            <w:shd w:val="clear" w:color="auto" w:fill="BFBFBF" w:themeFill="background1" w:themeFillShade="BF"/>
            <w:vAlign w:val="center"/>
          </w:tcPr>
          <w:p w14:paraId="397380F7"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1F276344"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noWrap/>
            <w:vAlign w:val="center"/>
          </w:tcPr>
          <w:p w14:paraId="4517F1E2"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993" w:type="dxa"/>
            <w:shd w:val="clear" w:color="auto" w:fill="BFBFBF" w:themeFill="background1" w:themeFillShade="BF"/>
            <w:vAlign w:val="center"/>
          </w:tcPr>
          <w:p w14:paraId="42A73E32"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2509EEDD"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709" w:type="dxa"/>
            <w:shd w:val="clear" w:color="auto" w:fill="BFBFBF" w:themeFill="background1" w:themeFillShade="BF"/>
            <w:vAlign w:val="center"/>
          </w:tcPr>
          <w:p w14:paraId="091D60F1"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c>
          <w:tcPr>
            <w:tcW w:w="680" w:type="dxa"/>
            <w:shd w:val="clear" w:color="auto" w:fill="BFBFBF" w:themeFill="background1" w:themeFillShade="BF"/>
            <w:vAlign w:val="center"/>
          </w:tcPr>
          <w:p w14:paraId="471CAA0F" w14:textId="77777777" w:rsidR="00CE5F30" w:rsidRPr="00775BCA" w:rsidRDefault="00CE5F30" w:rsidP="00CE5F30">
            <w:pPr>
              <w:spacing w:line="240" w:lineRule="atLeast"/>
              <w:jc w:val="center"/>
              <w:rPr>
                <w:rFonts w:ascii="Times New Roman" w:hAnsi="Times New Roman" w:cs="Times New Roman"/>
                <w:color w:val="000000"/>
                <w:sz w:val="20"/>
                <w:szCs w:val="20"/>
                <w:lang w:eastAsia="lt-LT"/>
              </w:rPr>
            </w:pPr>
          </w:p>
        </w:tc>
      </w:tr>
      <w:tr w:rsidR="00D772A2" w:rsidRPr="00775BCA" w14:paraId="332D8EA3" w14:textId="77777777" w:rsidTr="00514E14">
        <w:trPr>
          <w:trHeight w:val="375"/>
        </w:trPr>
        <w:tc>
          <w:tcPr>
            <w:tcW w:w="1419" w:type="dxa"/>
            <w:vAlign w:val="center"/>
          </w:tcPr>
          <w:p w14:paraId="01B23E8B" w14:textId="77777777" w:rsidR="00D772A2" w:rsidRPr="00925F82" w:rsidRDefault="00D772A2" w:rsidP="00D772A2">
            <w:pPr>
              <w:spacing w:line="240" w:lineRule="atLeast"/>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01-001-12-01</w:t>
            </w:r>
          </w:p>
        </w:tc>
        <w:tc>
          <w:tcPr>
            <w:tcW w:w="2409" w:type="dxa"/>
            <w:vAlign w:val="center"/>
          </w:tcPr>
          <w:p w14:paraId="2E1605E2" w14:textId="77777777" w:rsidR="00D772A2" w:rsidRPr="000B3045" w:rsidRDefault="00D772A2" w:rsidP="00D772A2">
            <w:pPr>
              <w:spacing w:line="240" w:lineRule="atLeast"/>
              <w:rPr>
                <w:rFonts w:ascii="Times New Roman" w:hAnsi="Times New Roman" w:cs="Times New Roman"/>
                <w:b/>
                <w:bCs/>
                <w:color w:val="000000"/>
                <w:sz w:val="20"/>
                <w:szCs w:val="20"/>
                <w:lang w:eastAsia="lt-LT"/>
              </w:rPr>
            </w:pPr>
            <w:r w:rsidRPr="092ADAC3">
              <w:rPr>
                <w:rFonts w:ascii="Times New Roman" w:hAnsi="Times New Roman" w:cs="Times New Roman"/>
                <w:b/>
                <w:bCs/>
                <w:sz w:val="20"/>
                <w:szCs w:val="20"/>
              </w:rPr>
              <w:t xml:space="preserve">Užtikrinti tinkamą administruojamo ūkio </w:t>
            </w:r>
            <w:r w:rsidRPr="092ADAC3">
              <w:rPr>
                <w:rFonts w:ascii="Times New Roman" w:hAnsi="Times New Roman" w:cs="Times New Roman"/>
                <w:b/>
                <w:bCs/>
                <w:sz w:val="20"/>
                <w:szCs w:val="20"/>
              </w:rPr>
              <w:lastRenderedPageBreak/>
              <w:t>valdymą, centralizuotą aprūpinimą ir konsoliduotų  paslaugų teikimą</w:t>
            </w:r>
          </w:p>
        </w:tc>
        <w:tc>
          <w:tcPr>
            <w:tcW w:w="1418" w:type="dxa"/>
          </w:tcPr>
          <w:p w14:paraId="2C0B6A33" w14:textId="65D1D33F" w:rsidR="00D772A2" w:rsidRPr="00B96F7F" w:rsidRDefault="00D772A2" w:rsidP="005B4630">
            <w:pPr>
              <w:spacing w:line="240" w:lineRule="atLeast"/>
              <w:jc w:val="center"/>
              <w:rPr>
                <w:rFonts w:ascii="Times New Roman" w:hAnsi="Times New Roman" w:cs="Times New Roman"/>
                <w:strike/>
                <w:color w:val="000000" w:themeColor="text1"/>
                <w:sz w:val="20"/>
                <w:szCs w:val="20"/>
                <w:lang w:eastAsia="lt-LT"/>
              </w:rPr>
            </w:pPr>
          </w:p>
          <w:p w14:paraId="1B090396" w14:textId="09FD7AEA" w:rsidR="00D772A2" w:rsidRPr="00B96F7F" w:rsidRDefault="00F03006" w:rsidP="005B4630">
            <w:pPr>
              <w:spacing w:line="240" w:lineRule="atLeast"/>
              <w:jc w:val="center"/>
              <w:rPr>
                <w:rFonts w:ascii="Times New Roman" w:hAnsi="Times New Roman" w:cs="Times New Roman"/>
                <w:strike/>
                <w:sz w:val="20"/>
                <w:szCs w:val="20"/>
              </w:rPr>
            </w:pPr>
            <w:r>
              <w:rPr>
                <w:rFonts w:ascii="Times New Roman" w:hAnsi="Times New Roman" w:cs="Times New Roman"/>
                <w:sz w:val="20"/>
                <w:szCs w:val="20"/>
              </w:rPr>
              <w:t>3505,0</w:t>
            </w:r>
          </w:p>
          <w:p w14:paraId="1DEC691A" w14:textId="4BA7D9F9" w:rsidR="00D772A2" w:rsidRPr="00232659" w:rsidRDefault="00D772A2" w:rsidP="005B4630">
            <w:pPr>
              <w:spacing w:line="240" w:lineRule="atLeast"/>
              <w:jc w:val="center"/>
              <w:rPr>
                <w:rFonts w:ascii="Times New Roman" w:hAnsi="Times New Roman" w:cs="Times New Roman"/>
                <w:strike/>
                <w:sz w:val="20"/>
                <w:szCs w:val="20"/>
                <w:u w:val="single"/>
                <w:lang w:eastAsia="lt-LT"/>
              </w:rPr>
            </w:pPr>
          </w:p>
        </w:tc>
        <w:tc>
          <w:tcPr>
            <w:tcW w:w="1247" w:type="dxa"/>
          </w:tcPr>
          <w:p w14:paraId="0D48FE74" w14:textId="2D778F47" w:rsidR="070233B9" w:rsidRDefault="070233B9" w:rsidP="005B4630">
            <w:pPr>
              <w:spacing w:line="240" w:lineRule="atLeast"/>
              <w:jc w:val="center"/>
              <w:rPr>
                <w:rFonts w:ascii="Times New Roman" w:hAnsi="Times New Roman" w:cs="Times New Roman"/>
                <w:strike/>
                <w:color w:val="000000" w:themeColor="text1"/>
                <w:sz w:val="20"/>
                <w:szCs w:val="20"/>
                <w:lang w:eastAsia="lt-LT"/>
              </w:rPr>
            </w:pPr>
          </w:p>
          <w:p w14:paraId="1188C531" w14:textId="5C612BC3" w:rsidR="00D772A2" w:rsidRPr="00B96F7F" w:rsidRDefault="00F03006" w:rsidP="005B4630">
            <w:pPr>
              <w:spacing w:line="240" w:lineRule="atLeast"/>
              <w:jc w:val="center"/>
              <w:rPr>
                <w:rFonts w:ascii="Times New Roman" w:hAnsi="Times New Roman" w:cs="Times New Roman"/>
                <w:strike/>
                <w:sz w:val="20"/>
                <w:szCs w:val="20"/>
                <w:lang w:eastAsia="lt-LT"/>
              </w:rPr>
            </w:pPr>
            <w:r>
              <w:rPr>
                <w:rFonts w:ascii="Times New Roman" w:hAnsi="Times New Roman" w:cs="Times New Roman"/>
                <w:sz w:val="20"/>
                <w:szCs w:val="20"/>
              </w:rPr>
              <w:t>3137,8</w:t>
            </w:r>
          </w:p>
        </w:tc>
        <w:tc>
          <w:tcPr>
            <w:tcW w:w="1163" w:type="dxa"/>
          </w:tcPr>
          <w:p w14:paraId="5777B8D9" w14:textId="5C5F810B" w:rsidR="00D772A2" w:rsidRPr="00B96F7F" w:rsidRDefault="00D772A2" w:rsidP="005B4630">
            <w:pPr>
              <w:spacing w:line="240" w:lineRule="atLeast"/>
              <w:jc w:val="center"/>
              <w:rPr>
                <w:rFonts w:ascii="Times New Roman" w:hAnsi="Times New Roman" w:cs="Times New Roman"/>
                <w:strike/>
                <w:color w:val="000000" w:themeColor="text1"/>
                <w:sz w:val="20"/>
                <w:szCs w:val="20"/>
                <w:lang w:eastAsia="lt-LT"/>
              </w:rPr>
            </w:pPr>
          </w:p>
          <w:p w14:paraId="4701ABDD" w14:textId="16D8BFFE" w:rsidR="00D772A2" w:rsidRPr="00B96F7F" w:rsidRDefault="00F03006" w:rsidP="005B4630">
            <w:pPr>
              <w:spacing w:line="240" w:lineRule="atLeast"/>
              <w:jc w:val="center"/>
              <w:rPr>
                <w:rFonts w:ascii="Times New Roman" w:hAnsi="Times New Roman" w:cs="Times New Roman"/>
                <w:strike/>
                <w:sz w:val="20"/>
                <w:szCs w:val="20"/>
                <w:lang w:eastAsia="lt-LT"/>
              </w:rPr>
            </w:pPr>
            <w:r>
              <w:rPr>
                <w:rFonts w:ascii="Times New Roman" w:hAnsi="Times New Roman" w:cs="Times New Roman"/>
                <w:sz w:val="20"/>
                <w:szCs w:val="20"/>
              </w:rPr>
              <w:t>89,5</w:t>
            </w:r>
          </w:p>
        </w:tc>
        <w:tc>
          <w:tcPr>
            <w:tcW w:w="1105" w:type="dxa"/>
            <w:shd w:val="clear" w:color="auto" w:fill="BFBFBF" w:themeFill="background1" w:themeFillShade="BF"/>
            <w:vAlign w:val="center"/>
          </w:tcPr>
          <w:p w14:paraId="262B0691" w14:textId="77777777" w:rsidR="00D772A2" w:rsidRPr="00925F82" w:rsidRDefault="00D772A2" w:rsidP="00D772A2">
            <w:pPr>
              <w:spacing w:line="240" w:lineRule="atLeast"/>
              <w:jc w:val="center"/>
              <w:rPr>
                <w:rFonts w:ascii="Times New Roman" w:hAnsi="Times New Roman" w:cs="Times New Roman"/>
                <w:color w:val="000000"/>
                <w:sz w:val="20"/>
                <w:szCs w:val="20"/>
                <w:lang w:eastAsia="lt-LT"/>
              </w:rPr>
            </w:pPr>
          </w:p>
        </w:tc>
        <w:tc>
          <w:tcPr>
            <w:tcW w:w="1021" w:type="dxa"/>
            <w:shd w:val="clear" w:color="auto" w:fill="BFBFBF" w:themeFill="background1" w:themeFillShade="BF"/>
            <w:vAlign w:val="center"/>
          </w:tcPr>
          <w:p w14:paraId="5BA7B4E0" w14:textId="77777777" w:rsidR="00D772A2" w:rsidRPr="000331C3" w:rsidRDefault="00D772A2" w:rsidP="00D772A2">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4BD2EB29" w14:textId="77777777" w:rsidR="00D772A2" w:rsidRPr="00775BCA" w:rsidRDefault="00D772A2" w:rsidP="00D772A2">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noWrap/>
            <w:vAlign w:val="center"/>
          </w:tcPr>
          <w:p w14:paraId="75947269" w14:textId="77777777" w:rsidR="00D772A2" w:rsidRPr="00775BCA" w:rsidRDefault="00D772A2" w:rsidP="00D772A2">
            <w:pPr>
              <w:spacing w:line="240" w:lineRule="atLeast"/>
              <w:jc w:val="center"/>
              <w:rPr>
                <w:rFonts w:ascii="Times New Roman" w:hAnsi="Times New Roman" w:cs="Times New Roman"/>
                <w:color w:val="000000"/>
                <w:sz w:val="20"/>
                <w:szCs w:val="20"/>
                <w:lang w:eastAsia="lt-LT"/>
              </w:rPr>
            </w:pPr>
          </w:p>
        </w:tc>
        <w:tc>
          <w:tcPr>
            <w:tcW w:w="993" w:type="dxa"/>
            <w:shd w:val="clear" w:color="auto" w:fill="BFBFBF" w:themeFill="background1" w:themeFillShade="BF"/>
            <w:vAlign w:val="center"/>
          </w:tcPr>
          <w:p w14:paraId="5AF62346" w14:textId="77777777" w:rsidR="00D772A2" w:rsidRPr="00775BCA" w:rsidRDefault="00D772A2" w:rsidP="00D772A2">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2FB41B75" w14:textId="77777777" w:rsidR="00D772A2" w:rsidRPr="00775BCA" w:rsidRDefault="00D772A2" w:rsidP="00D772A2">
            <w:pPr>
              <w:spacing w:line="240" w:lineRule="atLeast"/>
              <w:jc w:val="center"/>
              <w:rPr>
                <w:rFonts w:ascii="Times New Roman" w:hAnsi="Times New Roman" w:cs="Times New Roman"/>
                <w:color w:val="000000"/>
                <w:sz w:val="20"/>
                <w:szCs w:val="20"/>
                <w:lang w:eastAsia="lt-LT"/>
              </w:rPr>
            </w:pPr>
          </w:p>
        </w:tc>
        <w:tc>
          <w:tcPr>
            <w:tcW w:w="709" w:type="dxa"/>
            <w:shd w:val="clear" w:color="auto" w:fill="BFBFBF" w:themeFill="background1" w:themeFillShade="BF"/>
            <w:vAlign w:val="center"/>
          </w:tcPr>
          <w:p w14:paraId="2B8E27FA" w14:textId="77777777" w:rsidR="00D772A2" w:rsidRPr="00775BCA" w:rsidRDefault="00D772A2" w:rsidP="00D772A2">
            <w:pPr>
              <w:spacing w:line="240" w:lineRule="atLeast"/>
              <w:jc w:val="center"/>
              <w:rPr>
                <w:rFonts w:ascii="Times New Roman" w:hAnsi="Times New Roman" w:cs="Times New Roman"/>
                <w:color w:val="000000"/>
                <w:sz w:val="20"/>
                <w:szCs w:val="20"/>
                <w:lang w:eastAsia="lt-LT"/>
              </w:rPr>
            </w:pPr>
          </w:p>
        </w:tc>
        <w:tc>
          <w:tcPr>
            <w:tcW w:w="680" w:type="dxa"/>
            <w:shd w:val="clear" w:color="auto" w:fill="BFBFBF" w:themeFill="background1" w:themeFillShade="BF"/>
            <w:vAlign w:val="center"/>
          </w:tcPr>
          <w:p w14:paraId="07A07ECF" w14:textId="77777777" w:rsidR="00D772A2" w:rsidRPr="00775BCA" w:rsidRDefault="00D772A2" w:rsidP="00D772A2">
            <w:pPr>
              <w:spacing w:line="240" w:lineRule="atLeast"/>
              <w:jc w:val="center"/>
              <w:rPr>
                <w:rFonts w:ascii="Times New Roman" w:hAnsi="Times New Roman" w:cs="Times New Roman"/>
                <w:color w:val="000000"/>
                <w:sz w:val="20"/>
                <w:szCs w:val="20"/>
                <w:lang w:eastAsia="lt-LT"/>
              </w:rPr>
            </w:pPr>
          </w:p>
        </w:tc>
      </w:tr>
      <w:tr w:rsidR="00AA037B" w:rsidRPr="00775BCA" w14:paraId="32419C1F" w14:textId="77777777" w:rsidTr="00514E14">
        <w:trPr>
          <w:trHeight w:val="375"/>
        </w:trPr>
        <w:tc>
          <w:tcPr>
            <w:tcW w:w="1419" w:type="dxa"/>
            <w:vAlign w:val="center"/>
          </w:tcPr>
          <w:p w14:paraId="75C5C8F8" w14:textId="612DF842" w:rsidR="00AA037B" w:rsidRPr="00775BCA" w:rsidRDefault="55BAABAE" w:rsidP="00AA037B">
            <w:pPr>
              <w:spacing w:line="240" w:lineRule="atLeast"/>
              <w:rPr>
                <w:rFonts w:ascii="Times New Roman" w:eastAsia="Calibri" w:hAnsi="Times New Roman" w:cs="Times New Roman"/>
                <w:sz w:val="20"/>
                <w:szCs w:val="20"/>
                <w:lang w:eastAsia="lt-LT"/>
              </w:rPr>
            </w:pPr>
            <w:r w:rsidRPr="070233B9">
              <w:rPr>
                <w:rFonts w:ascii="Times New Roman" w:eastAsia="Calibri" w:hAnsi="Times New Roman" w:cs="Times New Roman"/>
                <w:sz w:val="20"/>
                <w:szCs w:val="20"/>
              </w:rPr>
              <w:t>E-01-001-1</w:t>
            </w:r>
            <w:r w:rsidR="2F8C484C" w:rsidRPr="070233B9">
              <w:rPr>
                <w:rFonts w:ascii="Times New Roman" w:eastAsia="Calibri" w:hAnsi="Times New Roman" w:cs="Times New Roman"/>
                <w:sz w:val="20"/>
                <w:szCs w:val="20"/>
              </w:rPr>
              <w:t>2</w:t>
            </w:r>
            <w:r w:rsidRPr="070233B9">
              <w:rPr>
                <w:rFonts w:ascii="Times New Roman" w:eastAsia="Calibri" w:hAnsi="Times New Roman" w:cs="Times New Roman"/>
                <w:sz w:val="20"/>
                <w:szCs w:val="20"/>
              </w:rPr>
              <w:t>-01-01</w:t>
            </w:r>
          </w:p>
        </w:tc>
        <w:tc>
          <w:tcPr>
            <w:tcW w:w="2409" w:type="dxa"/>
            <w:vAlign w:val="center"/>
          </w:tcPr>
          <w:p w14:paraId="1F75FC11" w14:textId="7E80859B" w:rsidR="00AA037B" w:rsidRPr="00232659" w:rsidRDefault="008B5A24" w:rsidP="070233B9">
            <w:pPr>
              <w:pStyle w:val="Pagrindinistekstas"/>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Centralizuotai turtą administruojamų įstaigų </w:t>
            </w:r>
            <w:r w:rsidR="40634F1D" w:rsidRPr="00232659">
              <w:rPr>
                <w:rFonts w:ascii="Times New Roman" w:eastAsia="Times New Roman" w:hAnsi="Times New Roman" w:cs="Times New Roman"/>
                <w:sz w:val="20"/>
                <w:szCs w:val="20"/>
              </w:rPr>
              <w:t xml:space="preserve"> darbuotojų pasitenkinimas darbo vieta ir jos aprūpinimu darbo priemonėmis, ne mažiau kaip, proc.</w:t>
            </w:r>
          </w:p>
          <w:p w14:paraId="3FBBD66B" w14:textId="162FB681" w:rsidR="00AA037B" w:rsidRPr="000B3045" w:rsidRDefault="00AA037B" w:rsidP="070233B9">
            <w:pPr>
              <w:pStyle w:val="Pagrindinistekstas"/>
              <w:widowControl w:val="0"/>
              <w:spacing w:line="240" w:lineRule="auto"/>
              <w:rPr>
                <w:rFonts w:ascii="Times New Roman" w:hAnsi="Times New Roman" w:cs="Times New Roman"/>
                <w:sz w:val="20"/>
                <w:szCs w:val="20"/>
                <w:lang w:eastAsia="lt-LT"/>
              </w:rPr>
            </w:pPr>
          </w:p>
        </w:tc>
        <w:tc>
          <w:tcPr>
            <w:tcW w:w="1418" w:type="dxa"/>
            <w:shd w:val="clear" w:color="auto" w:fill="BFBFBF" w:themeFill="background1" w:themeFillShade="BF"/>
            <w:vAlign w:val="center"/>
          </w:tcPr>
          <w:p w14:paraId="241D9852"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1247" w:type="dxa"/>
            <w:shd w:val="clear" w:color="auto" w:fill="BFBFBF" w:themeFill="background1" w:themeFillShade="BF"/>
            <w:vAlign w:val="center"/>
          </w:tcPr>
          <w:p w14:paraId="1E694647"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1163" w:type="dxa"/>
            <w:shd w:val="clear" w:color="auto" w:fill="BFBFBF" w:themeFill="background1" w:themeFillShade="BF"/>
            <w:vAlign w:val="center"/>
          </w:tcPr>
          <w:p w14:paraId="47B9C605" w14:textId="77777777" w:rsidR="00AA037B" w:rsidRPr="00925F82" w:rsidRDefault="00AA037B" w:rsidP="00AA037B">
            <w:pPr>
              <w:spacing w:line="240" w:lineRule="atLeast"/>
              <w:jc w:val="center"/>
              <w:rPr>
                <w:rFonts w:ascii="Times New Roman" w:hAnsi="Times New Roman" w:cs="Times New Roman"/>
                <w:color w:val="000000"/>
                <w:sz w:val="20"/>
                <w:szCs w:val="20"/>
                <w:lang w:eastAsia="lt-LT"/>
              </w:rPr>
            </w:pPr>
          </w:p>
        </w:tc>
        <w:tc>
          <w:tcPr>
            <w:tcW w:w="1105" w:type="dxa"/>
            <w:shd w:val="clear" w:color="auto" w:fill="BFBFBF" w:themeFill="background1" w:themeFillShade="BF"/>
            <w:vAlign w:val="center"/>
          </w:tcPr>
          <w:p w14:paraId="3CEE7872" w14:textId="77777777" w:rsidR="00AA037B" w:rsidRPr="000331C3" w:rsidRDefault="00AA037B" w:rsidP="00AA037B">
            <w:pPr>
              <w:spacing w:line="240" w:lineRule="atLeast"/>
              <w:jc w:val="center"/>
              <w:rPr>
                <w:rFonts w:ascii="Times New Roman" w:hAnsi="Times New Roman" w:cs="Times New Roman"/>
                <w:color w:val="000000"/>
                <w:sz w:val="20"/>
                <w:szCs w:val="20"/>
                <w:lang w:eastAsia="lt-LT"/>
              </w:rPr>
            </w:pPr>
          </w:p>
        </w:tc>
        <w:tc>
          <w:tcPr>
            <w:tcW w:w="1021" w:type="dxa"/>
            <w:vAlign w:val="center"/>
          </w:tcPr>
          <w:p w14:paraId="238F83F5" w14:textId="0DF3449C" w:rsidR="00AA037B" w:rsidRPr="005B4630" w:rsidRDefault="005B4630" w:rsidP="070233B9">
            <w:pPr>
              <w:spacing w:line="240" w:lineRule="atLeast"/>
              <w:jc w:val="center"/>
              <w:rPr>
                <w:rFonts w:ascii="Times New Roman" w:hAnsi="Times New Roman" w:cs="Times New Roman"/>
                <w:sz w:val="20"/>
                <w:szCs w:val="20"/>
                <w:lang w:eastAsia="lt-LT"/>
              </w:rPr>
            </w:pPr>
            <w:r w:rsidRPr="005B4630">
              <w:rPr>
                <w:rFonts w:ascii="Times New Roman" w:hAnsi="Times New Roman" w:cs="Times New Roman"/>
                <w:sz w:val="20"/>
                <w:szCs w:val="20"/>
                <w:lang w:eastAsia="lt-LT"/>
              </w:rPr>
              <w:t>–</w:t>
            </w:r>
          </w:p>
        </w:tc>
        <w:tc>
          <w:tcPr>
            <w:tcW w:w="992" w:type="dxa"/>
            <w:vAlign w:val="center"/>
          </w:tcPr>
          <w:p w14:paraId="53C61FF9" w14:textId="1B3A8CE7" w:rsidR="00AA037B" w:rsidRPr="005B4630" w:rsidRDefault="72E01239" w:rsidP="00232659">
            <w:pPr>
              <w:spacing w:line="240" w:lineRule="atLeast"/>
              <w:jc w:val="center"/>
              <w:rPr>
                <w:rFonts w:ascii="Times New Roman" w:hAnsi="Times New Roman" w:cs="Times New Roman"/>
                <w:sz w:val="20"/>
                <w:szCs w:val="20"/>
                <w:lang w:eastAsia="lt-LT"/>
              </w:rPr>
            </w:pPr>
            <w:r w:rsidRPr="005B4630">
              <w:rPr>
                <w:rFonts w:ascii="Times New Roman" w:hAnsi="Times New Roman" w:cs="Times New Roman"/>
                <w:sz w:val="20"/>
                <w:szCs w:val="20"/>
              </w:rPr>
              <w:t>78</w:t>
            </w:r>
          </w:p>
        </w:tc>
        <w:tc>
          <w:tcPr>
            <w:tcW w:w="992" w:type="dxa"/>
            <w:noWrap/>
            <w:vAlign w:val="center"/>
          </w:tcPr>
          <w:p w14:paraId="72C588B8" w14:textId="331AE1C2" w:rsidR="00AA037B" w:rsidRPr="005B4630" w:rsidRDefault="005B4630" w:rsidP="070233B9">
            <w:pPr>
              <w:spacing w:line="240" w:lineRule="atLeast"/>
              <w:jc w:val="center"/>
              <w:rPr>
                <w:rFonts w:ascii="Times New Roman" w:eastAsia="Times New Roman" w:hAnsi="Times New Roman" w:cs="Times New Roman"/>
                <w:sz w:val="20"/>
                <w:szCs w:val="20"/>
              </w:rPr>
            </w:pPr>
            <w:r w:rsidRPr="005B4630">
              <w:rPr>
                <w:rFonts w:ascii="Times New Roman" w:eastAsia="Times New Roman" w:hAnsi="Times New Roman" w:cs="Times New Roman"/>
                <w:sz w:val="20"/>
                <w:szCs w:val="20"/>
              </w:rPr>
              <w:t>–</w:t>
            </w:r>
            <w:r w:rsidR="002A1416">
              <w:rPr>
                <w:rStyle w:val="Puslapioinaosnuoroda"/>
                <w:rFonts w:ascii="Times New Roman" w:eastAsia="Times New Roman" w:hAnsi="Times New Roman" w:cs="Times New Roman"/>
                <w:sz w:val="20"/>
                <w:szCs w:val="20"/>
              </w:rPr>
              <w:footnoteReference w:id="2"/>
            </w:r>
          </w:p>
        </w:tc>
        <w:tc>
          <w:tcPr>
            <w:tcW w:w="993" w:type="dxa"/>
            <w:shd w:val="clear" w:color="auto" w:fill="auto"/>
            <w:vAlign w:val="center"/>
          </w:tcPr>
          <w:p w14:paraId="1F1ADEF3" w14:textId="52E4300B" w:rsidR="00AA037B" w:rsidRPr="005B4630" w:rsidRDefault="3D42C561" w:rsidP="00232659">
            <w:pPr>
              <w:spacing w:line="240" w:lineRule="atLeast"/>
              <w:jc w:val="center"/>
              <w:rPr>
                <w:rFonts w:ascii="Times New Roman" w:hAnsi="Times New Roman" w:cs="Times New Roman"/>
                <w:sz w:val="20"/>
                <w:szCs w:val="20"/>
                <w:lang w:eastAsia="lt-LT"/>
              </w:rPr>
            </w:pPr>
            <w:r w:rsidRPr="005B4630">
              <w:rPr>
                <w:rFonts w:ascii="Times New Roman" w:hAnsi="Times New Roman" w:cs="Times New Roman"/>
                <w:sz w:val="20"/>
                <w:szCs w:val="20"/>
              </w:rPr>
              <w:t>-</w:t>
            </w:r>
          </w:p>
        </w:tc>
        <w:tc>
          <w:tcPr>
            <w:tcW w:w="992" w:type="dxa"/>
            <w:shd w:val="clear" w:color="auto" w:fill="auto"/>
            <w:vAlign w:val="center"/>
          </w:tcPr>
          <w:p w14:paraId="64E7DD87" w14:textId="6B53B059" w:rsidR="00AA037B" w:rsidRPr="005B4630" w:rsidRDefault="00D11761" w:rsidP="070233B9">
            <w:pPr>
              <w:spacing w:line="240" w:lineRule="atLeast"/>
              <w:jc w:val="center"/>
              <w:rPr>
                <w:rFonts w:ascii="Times New Roman" w:hAnsi="Times New Roman" w:cs="Times New Roman"/>
                <w:sz w:val="20"/>
                <w:szCs w:val="20"/>
                <w:lang w:eastAsia="lt-LT"/>
              </w:rPr>
            </w:pPr>
            <w:r>
              <w:rPr>
                <w:rFonts w:ascii="Times New Roman" w:hAnsi="Times New Roman" w:cs="Times New Roman"/>
                <w:sz w:val="20"/>
                <w:szCs w:val="20"/>
                <w:lang w:eastAsia="lt-LT"/>
              </w:rPr>
              <w:t>104 (2024)</w:t>
            </w:r>
          </w:p>
        </w:tc>
        <w:tc>
          <w:tcPr>
            <w:tcW w:w="709" w:type="dxa"/>
            <w:shd w:val="clear" w:color="auto" w:fill="auto"/>
            <w:vAlign w:val="center"/>
          </w:tcPr>
          <w:p w14:paraId="2E2A684C" w14:textId="2C2D3A76" w:rsidR="00AA037B" w:rsidRPr="001A408D" w:rsidRDefault="00AA037B" w:rsidP="00232659">
            <w:pPr>
              <w:spacing w:line="240" w:lineRule="atLeast"/>
              <w:jc w:val="center"/>
              <w:rPr>
                <w:rFonts w:ascii="Times New Roman" w:hAnsi="Times New Roman" w:cs="Times New Roman"/>
                <w:sz w:val="20"/>
                <w:szCs w:val="20"/>
                <w:lang w:eastAsia="lt-LT"/>
              </w:rPr>
            </w:pPr>
          </w:p>
        </w:tc>
        <w:tc>
          <w:tcPr>
            <w:tcW w:w="680" w:type="dxa"/>
            <w:shd w:val="clear" w:color="auto" w:fill="auto"/>
            <w:vAlign w:val="center"/>
          </w:tcPr>
          <w:p w14:paraId="2BF006CC" w14:textId="5E2880DB" w:rsidR="00AA037B" w:rsidRPr="001A408D" w:rsidRDefault="00AA037B" w:rsidP="00AA037B">
            <w:pPr>
              <w:spacing w:line="240" w:lineRule="atLeast"/>
              <w:jc w:val="center"/>
              <w:rPr>
                <w:rFonts w:ascii="Times New Roman" w:hAnsi="Times New Roman" w:cs="Times New Roman"/>
                <w:sz w:val="20"/>
                <w:szCs w:val="20"/>
                <w:lang w:eastAsia="lt-LT"/>
              </w:rPr>
            </w:pPr>
          </w:p>
        </w:tc>
      </w:tr>
      <w:tr w:rsidR="003C0DC4" w:rsidRPr="00775BCA" w14:paraId="41996B4C" w14:textId="77777777" w:rsidTr="00514E14">
        <w:trPr>
          <w:trHeight w:val="375"/>
        </w:trPr>
        <w:tc>
          <w:tcPr>
            <w:tcW w:w="3828" w:type="dxa"/>
            <w:gridSpan w:val="2"/>
            <w:tcBorders>
              <w:top w:val="double" w:sz="4" w:space="0" w:color="auto"/>
            </w:tcBorders>
            <w:vAlign w:val="center"/>
          </w:tcPr>
          <w:p w14:paraId="1A0F2D34" w14:textId="77777777" w:rsidR="003C0DC4" w:rsidRPr="00775BCA" w:rsidRDefault="003C0DC4" w:rsidP="003C0DC4">
            <w:pPr>
              <w:spacing w:line="240" w:lineRule="atLeast"/>
              <w:rPr>
                <w:rFonts w:ascii="Times New Roman" w:hAnsi="Times New Roman" w:cs="Times New Roman"/>
                <w:b/>
                <w:bCs/>
                <w:color w:val="000000"/>
                <w:sz w:val="20"/>
                <w:szCs w:val="20"/>
                <w:lang w:eastAsia="lt-LT"/>
              </w:rPr>
            </w:pPr>
            <w:r w:rsidRPr="092ADAC3">
              <w:rPr>
                <w:rFonts w:ascii="Times New Roman" w:hAnsi="Times New Roman" w:cs="Times New Roman"/>
                <w:color w:val="000000" w:themeColor="text1"/>
                <w:sz w:val="20"/>
                <w:szCs w:val="20"/>
              </w:rPr>
              <w:t>1. Lietuvos Respublikos valstybės biudžetas, iš viso</w:t>
            </w:r>
          </w:p>
        </w:tc>
        <w:tc>
          <w:tcPr>
            <w:tcW w:w="1418" w:type="dxa"/>
            <w:tcBorders>
              <w:top w:val="double" w:sz="4" w:space="0" w:color="auto"/>
            </w:tcBorders>
          </w:tcPr>
          <w:p w14:paraId="2206CF09" w14:textId="77777777" w:rsidR="00F975F7" w:rsidRPr="005B4630" w:rsidRDefault="00F975F7" w:rsidP="16BBCD38">
            <w:pPr>
              <w:spacing w:line="240" w:lineRule="atLeast"/>
              <w:jc w:val="center"/>
              <w:rPr>
                <w:rFonts w:ascii="Times New Roman" w:hAnsi="Times New Roman" w:cs="Times New Roman"/>
                <w:strike/>
                <w:sz w:val="20"/>
                <w:szCs w:val="20"/>
              </w:rPr>
            </w:pPr>
          </w:p>
          <w:p w14:paraId="5DC4A6E9" w14:textId="50D1C43D" w:rsidR="4E02A915" w:rsidRPr="005B4630" w:rsidRDefault="71211BF2" w:rsidP="070233B9">
            <w:pPr>
              <w:spacing w:line="240" w:lineRule="atLeast"/>
              <w:jc w:val="center"/>
              <w:rPr>
                <w:rFonts w:ascii="Times New Roman" w:hAnsi="Times New Roman" w:cs="Times New Roman"/>
                <w:sz w:val="20"/>
                <w:szCs w:val="20"/>
              </w:rPr>
            </w:pPr>
            <w:r w:rsidRPr="005B4630">
              <w:rPr>
                <w:rFonts w:ascii="Times New Roman" w:hAnsi="Times New Roman" w:cs="Times New Roman"/>
                <w:sz w:val="20"/>
                <w:szCs w:val="20"/>
              </w:rPr>
              <w:t>3786,0</w:t>
            </w:r>
          </w:p>
          <w:p w14:paraId="5345D27F" w14:textId="41DD0F6F" w:rsidR="003C0DC4" w:rsidRPr="005B4630" w:rsidRDefault="003C0DC4" w:rsidP="003C0DC4">
            <w:pPr>
              <w:spacing w:line="240" w:lineRule="atLeast"/>
              <w:jc w:val="center"/>
              <w:rPr>
                <w:rFonts w:ascii="Times New Roman" w:hAnsi="Times New Roman" w:cs="Times New Roman"/>
                <w:strike/>
                <w:color w:val="000000"/>
                <w:sz w:val="20"/>
                <w:szCs w:val="20"/>
                <w:lang w:eastAsia="lt-LT"/>
              </w:rPr>
            </w:pPr>
          </w:p>
        </w:tc>
        <w:tc>
          <w:tcPr>
            <w:tcW w:w="1247" w:type="dxa"/>
            <w:tcBorders>
              <w:top w:val="double" w:sz="4" w:space="0" w:color="auto"/>
            </w:tcBorders>
          </w:tcPr>
          <w:p w14:paraId="1C99B56D" w14:textId="7355F316" w:rsidR="003C0DC4" w:rsidRPr="005B4630" w:rsidRDefault="003C0DC4" w:rsidP="16BBCD38">
            <w:pPr>
              <w:spacing w:line="240" w:lineRule="atLeast"/>
              <w:jc w:val="center"/>
              <w:rPr>
                <w:rFonts w:ascii="Times New Roman" w:hAnsi="Times New Roman" w:cs="Times New Roman"/>
                <w:strike/>
                <w:color w:val="000000" w:themeColor="text1"/>
                <w:sz w:val="20"/>
                <w:szCs w:val="20"/>
                <w:lang w:eastAsia="lt-LT"/>
              </w:rPr>
            </w:pPr>
          </w:p>
          <w:p w14:paraId="38A92B3A" w14:textId="23927ABB" w:rsidR="003C0DC4" w:rsidRPr="005B4630" w:rsidRDefault="2A781FD7" w:rsidP="16BBCD38">
            <w:pPr>
              <w:spacing w:line="240" w:lineRule="atLeast"/>
              <w:jc w:val="center"/>
              <w:rPr>
                <w:rFonts w:ascii="Times New Roman" w:hAnsi="Times New Roman" w:cs="Times New Roman"/>
                <w:strike/>
                <w:sz w:val="20"/>
                <w:szCs w:val="20"/>
                <w:lang w:eastAsia="lt-LT"/>
              </w:rPr>
            </w:pPr>
            <w:r w:rsidRPr="005B4630">
              <w:rPr>
                <w:rFonts w:ascii="Times New Roman" w:hAnsi="Times New Roman" w:cs="Times New Roman"/>
                <w:sz w:val="20"/>
                <w:szCs w:val="20"/>
              </w:rPr>
              <w:t>34</w:t>
            </w:r>
            <w:r w:rsidR="00F67709">
              <w:rPr>
                <w:rFonts w:ascii="Times New Roman" w:hAnsi="Times New Roman" w:cs="Times New Roman"/>
                <w:sz w:val="20"/>
                <w:szCs w:val="20"/>
              </w:rPr>
              <w:t>16,2</w:t>
            </w:r>
          </w:p>
        </w:tc>
        <w:tc>
          <w:tcPr>
            <w:tcW w:w="1163" w:type="dxa"/>
            <w:tcBorders>
              <w:top w:val="double" w:sz="4" w:space="0" w:color="auto"/>
            </w:tcBorders>
          </w:tcPr>
          <w:p w14:paraId="6DDEC7CF" w14:textId="2B5B94A4" w:rsidR="003C0DC4" w:rsidRPr="005B4630" w:rsidRDefault="003C0DC4" w:rsidP="16BBCD38">
            <w:pPr>
              <w:spacing w:line="240" w:lineRule="atLeast"/>
              <w:jc w:val="center"/>
              <w:rPr>
                <w:rFonts w:ascii="Times New Roman" w:hAnsi="Times New Roman" w:cs="Times New Roman"/>
                <w:strike/>
                <w:color w:val="000000" w:themeColor="text1"/>
                <w:sz w:val="20"/>
                <w:szCs w:val="20"/>
                <w:lang w:eastAsia="lt-LT"/>
              </w:rPr>
            </w:pPr>
          </w:p>
          <w:p w14:paraId="4CEC28C9" w14:textId="1D070618" w:rsidR="003C0DC4" w:rsidRPr="005B4630" w:rsidRDefault="005469C9" w:rsidP="16BBCD38">
            <w:pPr>
              <w:spacing w:line="240" w:lineRule="atLeast"/>
              <w:jc w:val="center"/>
              <w:rPr>
                <w:rFonts w:ascii="Times New Roman" w:hAnsi="Times New Roman" w:cs="Times New Roman"/>
                <w:strike/>
                <w:sz w:val="20"/>
                <w:szCs w:val="20"/>
                <w:lang w:eastAsia="lt-LT"/>
              </w:rPr>
            </w:pPr>
            <w:r>
              <w:rPr>
                <w:rFonts w:ascii="Times New Roman" w:hAnsi="Times New Roman" w:cs="Times New Roman"/>
                <w:sz w:val="20"/>
                <w:szCs w:val="20"/>
              </w:rPr>
              <w:t>90,</w:t>
            </w:r>
            <w:r w:rsidR="70419409" w:rsidRPr="005B4630">
              <w:rPr>
                <w:rFonts w:ascii="Times New Roman" w:hAnsi="Times New Roman" w:cs="Times New Roman"/>
                <w:sz w:val="20"/>
                <w:szCs w:val="20"/>
              </w:rPr>
              <w:t>2</w:t>
            </w:r>
          </w:p>
        </w:tc>
        <w:tc>
          <w:tcPr>
            <w:tcW w:w="1105" w:type="dxa"/>
            <w:tcBorders>
              <w:top w:val="double" w:sz="4" w:space="0" w:color="auto"/>
            </w:tcBorders>
            <w:vAlign w:val="center"/>
          </w:tcPr>
          <w:p w14:paraId="1AE58342" w14:textId="77777777" w:rsidR="003C0DC4" w:rsidRPr="00925F82" w:rsidRDefault="003C0DC4" w:rsidP="003C0DC4">
            <w:pPr>
              <w:spacing w:line="240" w:lineRule="atLeast"/>
              <w:jc w:val="center"/>
              <w:rPr>
                <w:rFonts w:ascii="Times New Roman" w:hAnsi="Times New Roman" w:cs="Times New Roman"/>
                <w:color w:val="000000"/>
                <w:sz w:val="20"/>
                <w:szCs w:val="20"/>
                <w:lang w:eastAsia="lt-LT"/>
              </w:rPr>
            </w:pPr>
          </w:p>
        </w:tc>
        <w:tc>
          <w:tcPr>
            <w:tcW w:w="1021" w:type="dxa"/>
            <w:tcBorders>
              <w:top w:val="double" w:sz="4" w:space="0" w:color="auto"/>
            </w:tcBorders>
            <w:shd w:val="clear" w:color="auto" w:fill="BFBFBF" w:themeFill="background1" w:themeFillShade="BF"/>
            <w:vAlign w:val="center"/>
          </w:tcPr>
          <w:p w14:paraId="71E94574" w14:textId="77777777" w:rsidR="003C0DC4" w:rsidRPr="000331C3" w:rsidRDefault="003C0DC4" w:rsidP="003C0DC4">
            <w:pPr>
              <w:spacing w:line="240" w:lineRule="atLeast"/>
              <w:jc w:val="center"/>
              <w:rPr>
                <w:rFonts w:ascii="Times New Roman" w:hAnsi="Times New Roman" w:cs="Times New Roman"/>
                <w:color w:val="000000"/>
                <w:sz w:val="20"/>
                <w:szCs w:val="20"/>
                <w:lang w:eastAsia="lt-LT"/>
              </w:rPr>
            </w:pPr>
          </w:p>
        </w:tc>
        <w:tc>
          <w:tcPr>
            <w:tcW w:w="992" w:type="dxa"/>
            <w:tcBorders>
              <w:top w:val="double" w:sz="4" w:space="0" w:color="auto"/>
            </w:tcBorders>
            <w:shd w:val="clear" w:color="auto" w:fill="BFBFBF" w:themeFill="background1" w:themeFillShade="BF"/>
            <w:vAlign w:val="center"/>
          </w:tcPr>
          <w:p w14:paraId="1D1A621D"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992" w:type="dxa"/>
            <w:tcBorders>
              <w:top w:val="double" w:sz="4" w:space="0" w:color="auto"/>
            </w:tcBorders>
            <w:shd w:val="clear" w:color="auto" w:fill="BFBFBF" w:themeFill="background1" w:themeFillShade="BF"/>
            <w:noWrap/>
            <w:vAlign w:val="center"/>
          </w:tcPr>
          <w:p w14:paraId="1832A677"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993" w:type="dxa"/>
            <w:tcBorders>
              <w:top w:val="double" w:sz="4" w:space="0" w:color="auto"/>
            </w:tcBorders>
            <w:shd w:val="clear" w:color="auto" w:fill="BFBFBF" w:themeFill="background1" w:themeFillShade="BF"/>
            <w:vAlign w:val="center"/>
          </w:tcPr>
          <w:p w14:paraId="6A28D1FC"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992" w:type="dxa"/>
            <w:tcBorders>
              <w:top w:val="double" w:sz="4" w:space="0" w:color="auto"/>
            </w:tcBorders>
            <w:shd w:val="clear" w:color="auto" w:fill="BFBFBF" w:themeFill="background1" w:themeFillShade="BF"/>
            <w:vAlign w:val="center"/>
          </w:tcPr>
          <w:p w14:paraId="3B0C9793"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709" w:type="dxa"/>
            <w:tcBorders>
              <w:top w:val="double" w:sz="4" w:space="0" w:color="auto"/>
            </w:tcBorders>
            <w:shd w:val="clear" w:color="auto" w:fill="BFBFBF" w:themeFill="background1" w:themeFillShade="BF"/>
            <w:vAlign w:val="center"/>
          </w:tcPr>
          <w:p w14:paraId="6D1FB2DF"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680" w:type="dxa"/>
            <w:tcBorders>
              <w:top w:val="double" w:sz="4" w:space="0" w:color="auto"/>
            </w:tcBorders>
            <w:shd w:val="clear" w:color="auto" w:fill="BFBFBF" w:themeFill="background1" w:themeFillShade="BF"/>
            <w:vAlign w:val="center"/>
          </w:tcPr>
          <w:p w14:paraId="741E185C"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r>
      <w:tr w:rsidR="003C0DC4" w:rsidRPr="00775BCA" w14:paraId="1F6C0E55" w14:textId="77777777" w:rsidTr="00514E14">
        <w:trPr>
          <w:trHeight w:val="375"/>
        </w:trPr>
        <w:tc>
          <w:tcPr>
            <w:tcW w:w="3828" w:type="dxa"/>
            <w:gridSpan w:val="2"/>
            <w:vAlign w:val="center"/>
          </w:tcPr>
          <w:p w14:paraId="35B60F69" w14:textId="77777777" w:rsidR="003C0DC4" w:rsidRPr="00775BCA" w:rsidRDefault="003C0DC4" w:rsidP="003C0DC4">
            <w:pPr>
              <w:spacing w:line="240" w:lineRule="atLeast"/>
              <w:rPr>
                <w:rFonts w:ascii="Times New Roman" w:hAnsi="Times New Roman" w:cs="Times New Roman"/>
                <w:color w:val="000000"/>
                <w:sz w:val="20"/>
                <w:szCs w:val="20"/>
                <w:lang w:eastAsia="lt-LT"/>
              </w:rPr>
            </w:pPr>
            <w:r w:rsidRPr="092ADAC3">
              <w:rPr>
                <w:rFonts w:ascii="Times New Roman" w:hAnsi="Times New Roman" w:cs="Times New Roman"/>
                <w:color w:val="000000" w:themeColor="text1"/>
                <w:sz w:val="20"/>
                <w:szCs w:val="20"/>
              </w:rPr>
              <w:t>iš jo:</w:t>
            </w:r>
          </w:p>
          <w:p w14:paraId="247A0FF4" w14:textId="77777777" w:rsidR="003C0DC4" w:rsidRPr="00775BCA" w:rsidRDefault="003C0DC4" w:rsidP="003C0DC4">
            <w:pPr>
              <w:spacing w:line="240" w:lineRule="atLeast"/>
              <w:rPr>
                <w:rFonts w:ascii="Times New Roman" w:hAnsi="Times New Roman" w:cs="Times New Roman"/>
                <w:color w:val="000000"/>
                <w:sz w:val="20"/>
                <w:szCs w:val="20"/>
                <w:lang w:eastAsia="lt-LT"/>
              </w:rPr>
            </w:pPr>
            <w:r w:rsidRPr="092ADAC3">
              <w:rPr>
                <w:rFonts w:ascii="Times New Roman" w:hAnsi="Times New Roman" w:cs="Times New Roman"/>
                <w:color w:val="000000" w:themeColor="text1"/>
                <w:sz w:val="20"/>
                <w:szCs w:val="20"/>
              </w:rPr>
              <w:t>1.1. valstybės biudžeto lėšos</w:t>
            </w:r>
          </w:p>
        </w:tc>
        <w:tc>
          <w:tcPr>
            <w:tcW w:w="1418" w:type="dxa"/>
            <w:vAlign w:val="center"/>
          </w:tcPr>
          <w:p w14:paraId="1DAEFF75" w14:textId="77777777" w:rsidR="005B4630" w:rsidRDefault="005B4630" w:rsidP="00023908">
            <w:pPr>
              <w:spacing w:line="240" w:lineRule="atLeast"/>
              <w:rPr>
                <w:rFonts w:ascii="Times New Roman" w:hAnsi="Times New Roman" w:cs="Times New Roman"/>
                <w:sz w:val="20"/>
                <w:szCs w:val="20"/>
              </w:rPr>
            </w:pPr>
          </w:p>
          <w:p w14:paraId="0AA593DD" w14:textId="77777777" w:rsidR="00627DA8" w:rsidRDefault="00627DA8" w:rsidP="005B4630">
            <w:pPr>
              <w:spacing w:line="240" w:lineRule="atLeast"/>
              <w:jc w:val="center"/>
              <w:rPr>
                <w:rFonts w:ascii="Times New Roman" w:hAnsi="Times New Roman" w:cs="Times New Roman"/>
                <w:sz w:val="20"/>
                <w:szCs w:val="20"/>
              </w:rPr>
            </w:pPr>
          </w:p>
          <w:p w14:paraId="1BA5FE35" w14:textId="72B0FB4C" w:rsidR="003C0DC4" w:rsidRPr="00232659" w:rsidRDefault="3894052C" w:rsidP="005B4630">
            <w:pPr>
              <w:spacing w:line="240" w:lineRule="atLeast"/>
              <w:jc w:val="center"/>
              <w:rPr>
                <w:rFonts w:ascii="Times New Roman" w:hAnsi="Times New Roman" w:cs="Times New Roman"/>
                <w:sz w:val="20"/>
                <w:szCs w:val="20"/>
              </w:rPr>
            </w:pPr>
            <w:r w:rsidRPr="00232659">
              <w:rPr>
                <w:rFonts w:ascii="Times New Roman" w:hAnsi="Times New Roman" w:cs="Times New Roman"/>
                <w:sz w:val="20"/>
                <w:szCs w:val="20"/>
              </w:rPr>
              <w:t>3443,0</w:t>
            </w:r>
          </w:p>
          <w:p w14:paraId="79C2D130" w14:textId="7753DAF0" w:rsidR="003C0DC4" w:rsidRPr="00B96F7F" w:rsidRDefault="003C0DC4" w:rsidP="005B4630">
            <w:pPr>
              <w:spacing w:line="240" w:lineRule="atLeast"/>
              <w:jc w:val="center"/>
              <w:rPr>
                <w:rFonts w:ascii="Times New Roman" w:hAnsi="Times New Roman" w:cs="Times New Roman"/>
                <w:strike/>
                <w:sz w:val="20"/>
                <w:szCs w:val="20"/>
                <w:lang w:eastAsia="lt-LT"/>
              </w:rPr>
            </w:pPr>
          </w:p>
        </w:tc>
        <w:tc>
          <w:tcPr>
            <w:tcW w:w="1247" w:type="dxa"/>
            <w:vAlign w:val="center"/>
          </w:tcPr>
          <w:p w14:paraId="29BE1442" w14:textId="143D7F07" w:rsidR="003C0DC4" w:rsidRPr="00B96F7F" w:rsidRDefault="003C0DC4" w:rsidP="005B4630">
            <w:pPr>
              <w:spacing w:line="240" w:lineRule="atLeast"/>
              <w:rPr>
                <w:rFonts w:ascii="Times New Roman" w:hAnsi="Times New Roman" w:cs="Times New Roman"/>
                <w:strike/>
                <w:color w:val="000000" w:themeColor="text1"/>
                <w:sz w:val="20"/>
                <w:szCs w:val="20"/>
                <w:lang w:eastAsia="lt-LT"/>
              </w:rPr>
            </w:pPr>
          </w:p>
          <w:p w14:paraId="41E01E91" w14:textId="76055F6B" w:rsidR="003C0DC4" w:rsidRPr="00B96F7F" w:rsidRDefault="2EEBCD52" w:rsidP="005B4630">
            <w:pPr>
              <w:spacing w:line="240" w:lineRule="atLeast"/>
              <w:jc w:val="center"/>
              <w:rPr>
                <w:rFonts w:ascii="Times New Roman" w:hAnsi="Times New Roman" w:cs="Times New Roman"/>
                <w:strike/>
                <w:sz w:val="20"/>
                <w:szCs w:val="20"/>
                <w:lang w:eastAsia="lt-LT"/>
              </w:rPr>
            </w:pPr>
            <w:r w:rsidRPr="00232659">
              <w:rPr>
                <w:rFonts w:ascii="Times New Roman" w:hAnsi="Times New Roman" w:cs="Times New Roman"/>
                <w:sz w:val="20"/>
                <w:szCs w:val="20"/>
              </w:rPr>
              <w:t>34</w:t>
            </w:r>
            <w:r w:rsidR="4187996B" w:rsidRPr="00232659">
              <w:rPr>
                <w:rFonts w:ascii="Times New Roman" w:hAnsi="Times New Roman" w:cs="Times New Roman"/>
                <w:sz w:val="20"/>
                <w:szCs w:val="20"/>
              </w:rPr>
              <w:t>04,2</w:t>
            </w:r>
          </w:p>
        </w:tc>
        <w:tc>
          <w:tcPr>
            <w:tcW w:w="1163" w:type="dxa"/>
            <w:vAlign w:val="center"/>
          </w:tcPr>
          <w:p w14:paraId="60BA1914" w14:textId="163EE5DE" w:rsidR="003C0DC4" w:rsidRPr="00B96F7F" w:rsidRDefault="003C0DC4" w:rsidP="00023908">
            <w:pPr>
              <w:spacing w:line="240" w:lineRule="atLeast"/>
              <w:rPr>
                <w:rFonts w:ascii="Times New Roman" w:hAnsi="Times New Roman" w:cs="Times New Roman"/>
                <w:strike/>
                <w:color w:val="000000" w:themeColor="text1"/>
                <w:sz w:val="20"/>
                <w:szCs w:val="20"/>
                <w:lang w:eastAsia="lt-LT"/>
              </w:rPr>
            </w:pPr>
          </w:p>
          <w:p w14:paraId="4E016B87" w14:textId="318189A2" w:rsidR="003C0DC4" w:rsidRPr="00B96F7F" w:rsidRDefault="5FFB72D5" w:rsidP="005B4630">
            <w:pPr>
              <w:spacing w:line="240" w:lineRule="atLeast"/>
              <w:jc w:val="center"/>
              <w:rPr>
                <w:rFonts w:ascii="Times New Roman" w:hAnsi="Times New Roman" w:cs="Times New Roman"/>
                <w:strike/>
                <w:sz w:val="20"/>
                <w:szCs w:val="20"/>
                <w:lang w:eastAsia="lt-LT"/>
              </w:rPr>
            </w:pPr>
            <w:r w:rsidRPr="00232659">
              <w:rPr>
                <w:rFonts w:ascii="Times New Roman" w:hAnsi="Times New Roman" w:cs="Times New Roman"/>
                <w:sz w:val="20"/>
                <w:szCs w:val="20"/>
              </w:rPr>
              <w:t>98,</w:t>
            </w:r>
            <w:r w:rsidR="00890918">
              <w:rPr>
                <w:rFonts w:ascii="Times New Roman" w:hAnsi="Times New Roman" w:cs="Times New Roman"/>
                <w:sz w:val="20"/>
                <w:szCs w:val="20"/>
              </w:rPr>
              <w:t>9</w:t>
            </w:r>
          </w:p>
        </w:tc>
        <w:tc>
          <w:tcPr>
            <w:tcW w:w="1105" w:type="dxa"/>
            <w:vAlign w:val="center"/>
          </w:tcPr>
          <w:p w14:paraId="2787057E"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1021" w:type="dxa"/>
            <w:shd w:val="clear" w:color="auto" w:fill="BFBFBF" w:themeFill="background1" w:themeFillShade="BF"/>
            <w:vAlign w:val="center"/>
          </w:tcPr>
          <w:p w14:paraId="01EA7863" w14:textId="77777777" w:rsidR="003C0DC4" w:rsidRPr="00925F82" w:rsidRDefault="003C0DC4" w:rsidP="003C0DC4">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1B1917A1" w14:textId="77777777" w:rsidR="003C0DC4" w:rsidRPr="000331C3" w:rsidRDefault="003C0DC4" w:rsidP="003C0DC4">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noWrap/>
            <w:vAlign w:val="center"/>
          </w:tcPr>
          <w:p w14:paraId="2CAC2EAB"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993" w:type="dxa"/>
            <w:shd w:val="clear" w:color="auto" w:fill="BFBFBF" w:themeFill="background1" w:themeFillShade="BF"/>
            <w:vAlign w:val="center"/>
          </w:tcPr>
          <w:p w14:paraId="648722EC"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2F53988B"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709" w:type="dxa"/>
            <w:shd w:val="clear" w:color="auto" w:fill="BFBFBF" w:themeFill="background1" w:themeFillShade="BF"/>
            <w:vAlign w:val="center"/>
          </w:tcPr>
          <w:p w14:paraId="350FDA0C"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680" w:type="dxa"/>
            <w:shd w:val="clear" w:color="auto" w:fill="BFBFBF" w:themeFill="background1" w:themeFillShade="BF"/>
            <w:vAlign w:val="center"/>
          </w:tcPr>
          <w:p w14:paraId="3C2CD820"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r>
      <w:tr w:rsidR="00644662" w:rsidRPr="00775BCA" w14:paraId="560D1D0E" w14:textId="77777777" w:rsidTr="00514E14">
        <w:trPr>
          <w:trHeight w:val="375"/>
        </w:trPr>
        <w:tc>
          <w:tcPr>
            <w:tcW w:w="3828" w:type="dxa"/>
            <w:gridSpan w:val="2"/>
            <w:vAlign w:val="center"/>
          </w:tcPr>
          <w:p w14:paraId="0F6E8A08" w14:textId="77777777" w:rsidR="00644662" w:rsidRPr="00775BCA" w:rsidRDefault="0E0CB8A3" w:rsidP="00644662">
            <w:pPr>
              <w:spacing w:line="240" w:lineRule="atLeast"/>
              <w:rPr>
                <w:rFonts w:ascii="Times New Roman" w:hAnsi="Times New Roman" w:cs="Times New Roman"/>
                <w:color w:val="000000"/>
                <w:sz w:val="20"/>
                <w:szCs w:val="20"/>
                <w:lang w:eastAsia="lt-LT"/>
              </w:rPr>
            </w:pPr>
            <w:r w:rsidRPr="092ADAC3">
              <w:rPr>
                <w:rFonts w:ascii="Times New Roman" w:hAnsi="Times New Roman" w:cs="Times New Roman"/>
                <w:color w:val="000000" w:themeColor="text1"/>
                <w:sz w:val="20"/>
                <w:szCs w:val="20"/>
              </w:rPr>
              <w:t>1.2. bendrojo finansavimo lėšos</w:t>
            </w:r>
          </w:p>
        </w:tc>
        <w:tc>
          <w:tcPr>
            <w:tcW w:w="1418" w:type="dxa"/>
            <w:vAlign w:val="center"/>
          </w:tcPr>
          <w:p w14:paraId="1EB1FC65" w14:textId="77777777" w:rsidR="00644662" w:rsidRPr="003C0DC4" w:rsidRDefault="1E767890" w:rsidP="005B4630">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247" w:type="dxa"/>
            <w:vAlign w:val="center"/>
          </w:tcPr>
          <w:p w14:paraId="2D2C7DF8" w14:textId="77777777" w:rsidR="00644662" w:rsidRPr="003C0DC4" w:rsidRDefault="1E767890" w:rsidP="005B4630">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163" w:type="dxa"/>
            <w:vAlign w:val="center"/>
          </w:tcPr>
          <w:p w14:paraId="1EE94D51" w14:textId="77777777" w:rsidR="00644662" w:rsidRPr="003C0DC4" w:rsidRDefault="1E767890" w:rsidP="005B4630">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105" w:type="dxa"/>
            <w:vAlign w:val="center"/>
          </w:tcPr>
          <w:p w14:paraId="7747D512" w14:textId="77777777" w:rsidR="00644662" w:rsidRPr="00775BCA" w:rsidRDefault="00644662" w:rsidP="00644662">
            <w:pPr>
              <w:spacing w:line="240" w:lineRule="atLeast"/>
              <w:jc w:val="center"/>
              <w:rPr>
                <w:rFonts w:ascii="Times New Roman" w:hAnsi="Times New Roman" w:cs="Times New Roman"/>
                <w:color w:val="000000"/>
                <w:sz w:val="20"/>
                <w:szCs w:val="20"/>
                <w:lang w:eastAsia="lt-LT"/>
              </w:rPr>
            </w:pPr>
          </w:p>
        </w:tc>
        <w:tc>
          <w:tcPr>
            <w:tcW w:w="1021" w:type="dxa"/>
            <w:shd w:val="clear" w:color="auto" w:fill="BFBFBF" w:themeFill="background1" w:themeFillShade="BF"/>
            <w:vAlign w:val="center"/>
          </w:tcPr>
          <w:p w14:paraId="19C5F9AB" w14:textId="77777777" w:rsidR="00644662" w:rsidRPr="00775BCA" w:rsidRDefault="00644662" w:rsidP="00644662">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5B07DEC6" w14:textId="77777777" w:rsidR="00644662" w:rsidRPr="00775BCA" w:rsidRDefault="00644662" w:rsidP="00644662">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noWrap/>
            <w:vAlign w:val="center"/>
          </w:tcPr>
          <w:p w14:paraId="57FA40F9" w14:textId="77777777" w:rsidR="00644662" w:rsidRPr="00775BCA" w:rsidRDefault="00644662" w:rsidP="00644662">
            <w:pPr>
              <w:spacing w:line="240" w:lineRule="atLeast"/>
              <w:jc w:val="center"/>
              <w:rPr>
                <w:rFonts w:ascii="Times New Roman" w:hAnsi="Times New Roman" w:cs="Times New Roman"/>
                <w:color w:val="000000"/>
                <w:sz w:val="20"/>
                <w:szCs w:val="20"/>
                <w:lang w:eastAsia="lt-LT"/>
              </w:rPr>
            </w:pPr>
          </w:p>
        </w:tc>
        <w:tc>
          <w:tcPr>
            <w:tcW w:w="993" w:type="dxa"/>
            <w:shd w:val="clear" w:color="auto" w:fill="BFBFBF" w:themeFill="background1" w:themeFillShade="BF"/>
            <w:vAlign w:val="center"/>
          </w:tcPr>
          <w:p w14:paraId="369B71A4" w14:textId="77777777" w:rsidR="00644662" w:rsidRPr="00775BCA" w:rsidRDefault="00644662" w:rsidP="00644662">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04636A9C" w14:textId="77777777" w:rsidR="00644662" w:rsidRPr="00775BCA" w:rsidRDefault="00644662" w:rsidP="00644662">
            <w:pPr>
              <w:spacing w:line="240" w:lineRule="atLeast"/>
              <w:jc w:val="center"/>
              <w:rPr>
                <w:rFonts w:ascii="Times New Roman" w:hAnsi="Times New Roman" w:cs="Times New Roman"/>
                <w:color w:val="000000"/>
                <w:sz w:val="20"/>
                <w:szCs w:val="20"/>
                <w:lang w:eastAsia="lt-LT"/>
              </w:rPr>
            </w:pPr>
          </w:p>
        </w:tc>
        <w:tc>
          <w:tcPr>
            <w:tcW w:w="709" w:type="dxa"/>
            <w:shd w:val="clear" w:color="auto" w:fill="BFBFBF" w:themeFill="background1" w:themeFillShade="BF"/>
            <w:vAlign w:val="center"/>
          </w:tcPr>
          <w:p w14:paraId="74FDA7D4" w14:textId="77777777" w:rsidR="00644662" w:rsidRPr="00775BCA" w:rsidRDefault="00644662" w:rsidP="00644662">
            <w:pPr>
              <w:spacing w:line="240" w:lineRule="atLeast"/>
              <w:jc w:val="center"/>
              <w:rPr>
                <w:rFonts w:ascii="Times New Roman" w:hAnsi="Times New Roman" w:cs="Times New Roman"/>
                <w:color w:val="000000"/>
                <w:sz w:val="20"/>
                <w:szCs w:val="20"/>
                <w:lang w:eastAsia="lt-LT"/>
              </w:rPr>
            </w:pPr>
          </w:p>
        </w:tc>
        <w:tc>
          <w:tcPr>
            <w:tcW w:w="680" w:type="dxa"/>
            <w:shd w:val="clear" w:color="auto" w:fill="BFBFBF" w:themeFill="background1" w:themeFillShade="BF"/>
            <w:vAlign w:val="center"/>
          </w:tcPr>
          <w:p w14:paraId="421C62F5" w14:textId="77777777" w:rsidR="00644662" w:rsidRPr="00775BCA" w:rsidRDefault="00644662" w:rsidP="00644662">
            <w:pPr>
              <w:spacing w:line="240" w:lineRule="atLeast"/>
              <w:jc w:val="center"/>
              <w:rPr>
                <w:rFonts w:ascii="Times New Roman" w:hAnsi="Times New Roman" w:cs="Times New Roman"/>
                <w:color w:val="000000"/>
                <w:sz w:val="20"/>
                <w:szCs w:val="20"/>
                <w:lang w:eastAsia="lt-LT"/>
              </w:rPr>
            </w:pPr>
          </w:p>
        </w:tc>
      </w:tr>
      <w:tr w:rsidR="004E0E3B" w:rsidRPr="00775BCA" w14:paraId="28FA6B3C" w14:textId="77777777" w:rsidTr="00514E14">
        <w:trPr>
          <w:trHeight w:val="375"/>
        </w:trPr>
        <w:tc>
          <w:tcPr>
            <w:tcW w:w="3828" w:type="dxa"/>
            <w:gridSpan w:val="2"/>
            <w:vAlign w:val="center"/>
          </w:tcPr>
          <w:p w14:paraId="502089F0" w14:textId="77777777" w:rsidR="004E0E3B" w:rsidRPr="00775BCA" w:rsidRDefault="1E767890" w:rsidP="004E0E3B">
            <w:pPr>
              <w:spacing w:line="240" w:lineRule="atLeast"/>
              <w:rPr>
                <w:rFonts w:ascii="Times New Roman" w:hAnsi="Times New Roman" w:cs="Times New Roman"/>
                <w:color w:val="000000"/>
                <w:sz w:val="20"/>
                <w:szCs w:val="20"/>
                <w:lang w:eastAsia="lt-LT"/>
              </w:rPr>
            </w:pPr>
            <w:r w:rsidRPr="092ADAC3">
              <w:rPr>
                <w:rFonts w:ascii="Times New Roman" w:hAnsi="Times New Roman" w:cs="Times New Roman"/>
                <w:color w:val="000000" w:themeColor="text1"/>
                <w:sz w:val="20"/>
                <w:szCs w:val="20"/>
              </w:rPr>
              <w:t>1.3. Europos Sąjungos ir kitos tarptautinės finansinės paramos lėšos</w:t>
            </w:r>
          </w:p>
        </w:tc>
        <w:tc>
          <w:tcPr>
            <w:tcW w:w="1418" w:type="dxa"/>
            <w:vAlign w:val="center"/>
          </w:tcPr>
          <w:p w14:paraId="0B588C97" w14:textId="77777777" w:rsidR="004E0E3B" w:rsidRPr="003C0DC4" w:rsidRDefault="1E767890" w:rsidP="005B4630">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247" w:type="dxa"/>
            <w:vAlign w:val="center"/>
          </w:tcPr>
          <w:p w14:paraId="5F162C82" w14:textId="77777777" w:rsidR="004E0E3B" w:rsidRPr="003C0DC4" w:rsidRDefault="1E767890" w:rsidP="005B4630">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163" w:type="dxa"/>
            <w:vAlign w:val="center"/>
          </w:tcPr>
          <w:p w14:paraId="70B66525" w14:textId="77777777" w:rsidR="004E0E3B" w:rsidRPr="003C0DC4" w:rsidRDefault="1E767890" w:rsidP="005B4630">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105" w:type="dxa"/>
            <w:vAlign w:val="center"/>
          </w:tcPr>
          <w:p w14:paraId="20532831"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1021" w:type="dxa"/>
            <w:shd w:val="clear" w:color="auto" w:fill="BFBFBF" w:themeFill="background1" w:themeFillShade="BF"/>
            <w:vAlign w:val="center"/>
          </w:tcPr>
          <w:p w14:paraId="31399B12"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09FECF05"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noWrap/>
            <w:vAlign w:val="center"/>
          </w:tcPr>
          <w:p w14:paraId="0F589F41"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3" w:type="dxa"/>
            <w:shd w:val="clear" w:color="auto" w:fill="BFBFBF" w:themeFill="background1" w:themeFillShade="BF"/>
            <w:vAlign w:val="center"/>
          </w:tcPr>
          <w:p w14:paraId="55E22913"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604E9B09"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709" w:type="dxa"/>
            <w:shd w:val="clear" w:color="auto" w:fill="BFBFBF" w:themeFill="background1" w:themeFillShade="BF"/>
            <w:vAlign w:val="center"/>
          </w:tcPr>
          <w:p w14:paraId="429EA001"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680" w:type="dxa"/>
            <w:shd w:val="clear" w:color="auto" w:fill="BFBFBF" w:themeFill="background1" w:themeFillShade="BF"/>
            <w:vAlign w:val="center"/>
          </w:tcPr>
          <w:p w14:paraId="5A6D2A3E"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r>
      <w:tr w:rsidR="004E0E3B" w:rsidRPr="00775BCA" w14:paraId="01157B8E" w14:textId="77777777" w:rsidTr="00514E14">
        <w:trPr>
          <w:trHeight w:val="375"/>
        </w:trPr>
        <w:tc>
          <w:tcPr>
            <w:tcW w:w="3828" w:type="dxa"/>
            <w:gridSpan w:val="2"/>
            <w:vAlign w:val="center"/>
          </w:tcPr>
          <w:p w14:paraId="29F0A70D" w14:textId="77777777" w:rsidR="004E0E3B" w:rsidRPr="00775BCA" w:rsidRDefault="1E767890" w:rsidP="004E0E3B">
            <w:pPr>
              <w:spacing w:line="240" w:lineRule="atLeast"/>
              <w:rPr>
                <w:rFonts w:ascii="Times New Roman" w:hAnsi="Times New Roman" w:cs="Times New Roman"/>
                <w:color w:val="000000"/>
                <w:sz w:val="20"/>
                <w:szCs w:val="20"/>
                <w:lang w:eastAsia="lt-LT"/>
              </w:rPr>
            </w:pPr>
            <w:r w:rsidRPr="092ADAC3">
              <w:rPr>
                <w:rFonts w:ascii="Times New Roman" w:hAnsi="Times New Roman" w:cs="Times New Roman"/>
                <w:color w:val="000000" w:themeColor="text1"/>
                <w:sz w:val="20"/>
                <w:szCs w:val="20"/>
              </w:rPr>
              <w:t>1.4. pajamų įmokos ir kitos pajamos</w:t>
            </w:r>
          </w:p>
        </w:tc>
        <w:tc>
          <w:tcPr>
            <w:tcW w:w="1418" w:type="dxa"/>
            <w:vAlign w:val="center"/>
          </w:tcPr>
          <w:p w14:paraId="67182C0E" w14:textId="12FE34A6" w:rsidR="004E0E3B" w:rsidRPr="00B96F7F" w:rsidRDefault="004E0E3B" w:rsidP="005B4630">
            <w:pPr>
              <w:spacing w:line="240" w:lineRule="atLeast"/>
              <w:jc w:val="center"/>
              <w:rPr>
                <w:rFonts w:ascii="Times New Roman" w:hAnsi="Times New Roman" w:cs="Times New Roman"/>
                <w:strike/>
                <w:color w:val="000000" w:themeColor="text1"/>
                <w:sz w:val="20"/>
                <w:szCs w:val="20"/>
                <w:lang w:eastAsia="lt-LT"/>
              </w:rPr>
            </w:pPr>
          </w:p>
          <w:p w14:paraId="104577CA" w14:textId="38E8C7F4" w:rsidR="004E0E3B" w:rsidRPr="00B96F7F" w:rsidRDefault="212A9117" w:rsidP="005B4630">
            <w:pPr>
              <w:spacing w:line="240" w:lineRule="atLeast"/>
              <w:jc w:val="center"/>
              <w:rPr>
                <w:rFonts w:ascii="Times New Roman" w:hAnsi="Times New Roman" w:cs="Times New Roman"/>
                <w:strike/>
                <w:color w:val="000000"/>
                <w:sz w:val="20"/>
                <w:szCs w:val="20"/>
                <w:lang w:eastAsia="lt-LT"/>
              </w:rPr>
            </w:pPr>
            <w:r w:rsidRPr="00232659">
              <w:rPr>
                <w:rFonts w:ascii="Times New Roman" w:hAnsi="Times New Roman" w:cs="Times New Roman"/>
                <w:color w:val="000000" w:themeColor="text1"/>
                <w:sz w:val="20"/>
                <w:szCs w:val="20"/>
              </w:rPr>
              <w:t>34</w:t>
            </w:r>
            <w:r w:rsidR="635B8C32" w:rsidRPr="00232659">
              <w:rPr>
                <w:rFonts w:ascii="Times New Roman" w:hAnsi="Times New Roman" w:cs="Times New Roman"/>
                <w:color w:val="000000" w:themeColor="text1"/>
                <w:sz w:val="20"/>
                <w:szCs w:val="20"/>
              </w:rPr>
              <w:t>3,</w:t>
            </w:r>
            <w:r w:rsidR="635B8C32" w:rsidRPr="00627DA8">
              <w:rPr>
                <w:rFonts w:ascii="Times New Roman" w:hAnsi="Times New Roman" w:cs="Times New Roman"/>
                <w:color w:val="000000" w:themeColor="text1"/>
                <w:sz w:val="20"/>
                <w:szCs w:val="20"/>
              </w:rPr>
              <w:t>0</w:t>
            </w:r>
          </w:p>
        </w:tc>
        <w:tc>
          <w:tcPr>
            <w:tcW w:w="1247" w:type="dxa"/>
            <w:vAlign w:val="center"/>
          </w:tcPr>
          <w:p w14:paraId="1C6BCB59" w14:textId="3D367A67" w:rsidR="004E0E3B" w:rsidRPr="00B96F7F" w:rsidRDefault="004E0E3B" w:rsidP="005B4630">
            <w:pPr>
              <w:spacing w:line="240" w:lineRule="atLeast"/>
              <w:jc w:val="center"/>
              <w:rPr>
                <w:rFonts w:ascii="Times New Roman" w:hAnsi="Times New Roman" w:cs="Times New Roman"/>
                <w:strike/>
                <w:color w:val="000000" w:themeColor="text1"/>
                <w:sz w:val="20"/>
                <w:szCs w:val="20"/>
                <w:lang w:eastAsia="lt-LT"/>
              </w:rPr>
            </w:pPr>
          </w:p>
          <w:p w14:paraId="54114098" w14:textId="26BC6949" w:rsidR="004E0E3B" w:rsidRPr="00B96F7F" w:rsidRDefault="6AE23788" w:rsidP="005B4630">
            <w:pPr>
              <w:spacing w:line="240" w:lineRule="atLeast"/>
              <w:jc w:val="center"/>
              <w:rPr>
                <w:rFonts w:ascii="Times New Roman" w:hAnsi="Times New Roman" w:cs="Times New Roman"/>
                <w:strike/>
                <w:color w:val="000000"/>
                <w:sz w:val="20"/>
                <w:szCs w:val="20"/>
                <w:lang w:eastAsia="lt-LT"/>
              </w:rPr>
            </w:pPr>
            <w:r w:rsidRPr="00232659">
              <w:rPr>
                <w:rFonts w:ascii="Times New Roman" w:hAnsi="Times New Roman" w:cs="Times New Roman"/>
                <w:color w:val="000000" w:themeColor="text1"/>
                <w:sz w:val="20"/>
                <w:szCs w:val="20"/>
              </w:rPr>
              <w:t>1</w:t>
            </w:r>
            <w:r w:rsidR="00890918">
              <w:rPr>
                <w:rFonts w:ascii="Times New Roman" w:hAnsi="Times New Roman" w:cs="Times New Roman"/>
                <w:color w:val="000000" w:themeColor="text1"/>
                <w:sz w:val="20"/>
                <w:szCs w:val="20"/>
              </w:rPr>
              <w:t>2</w:t>
            </w:r>
            <w:r w:rsidR="00732449">
              <w:rPr>
                <w:rFonts w:ascii="Times New Roman" w:hAnsi="Times New Roman" w:cs="Times New Roman"/>
                <w:color w:val="000000" w:themeColor="text1"/>
                <w:sz w:val="20"/>
                <w:szCs w:val="20"/>
              </w:rPr>
              <w:t>,0</w:t>
            </w:r>
          </w:p>
        </w:tc>
        <w:tc>
          <w:tcPr>
            <w:tcW w:w="1163" w:type="dxa"/>
            <w:vAlign w:val="center"/>
          </w:tcPr>
          <w:p w14:paraId="08F6C08A" w14:textId="77777777" w:rsidR="00BF109F" w:rsidRDefault="00BF109F" w:rsidP="005B4630">
            <w:pPr>
              <w:spacing w:line="240" w:lineRule="atLeast"/>
              <w:jc w:val="center"/>
              <w:rPr>
                <w:rFonts w:ascii="Times New Roman" w:hAnsi="Times New Roman" w:cs="Times New Roman"/>
                <w:color w:val="000000" w:themeColor="text1"/>
                <w:sz w:val="20"/>
                <w:szCs w:val="20"/>
              </w:rPr>
            </w:pPr>
          </w:p>
          <w:p w14:paraId="34E7FA9C" w14:textId="55FDE994" w:rsidR="004E0E3B" w:rsidRPr="00B96F7F" w:rsidRDefault="00890918" w:rsidP="005B4630">
            <w:pPr>
              <w:spacing w:line="240" w:lineRule="atLeast"/>
              <w:jc w:val="center"/>
              <w:rPr>
                <w:rFonts w:ascii="Times New Roman" w:hAnsi="Times New Roman" w:cs="Times New Roman"/>
                <w:color w:val="000000"/>
                <w:sz w:val="20"/>
                <w:szCs w:val="20"/>
                <w:lang w:eastAsia="lt-LT"/>
              </w:rPr>
            </w:pPr>
            <w:r>
              <w:rPr>
                <w:rFonts w:ascii="Times New Roman" w:hAnsi="Times New Roman" w:cs="Times New Roman"/>
                <w:color w:val="000000" w:themeColor="text1"/>
                <w:sz w:val="20"/>
                <w:szCs w:val="20"/>
              </w:rPr>
              <w:t>3,5</w:t>
            </w:r>
          </w:p>
        </w:tc>
        <w:tc>
          <w:tcPr>
            <w:tcW w:w="1105" w:type="dxa"/>
            <w:vAlign w:val="center"/>
          </w:tcPr>
          <w:p w14:paraId="42860205"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1021" w:type="dxa"/>
            <w:shd w:val="clear" w:color="auto" w:fill="BFBFBF" w:themeFill="background1" w:themeFillShade="BF"/>
            <w:vAlign w:val="center"/>
          </w:tcPr>
          <w:p w14:paraId="2A08615E"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1E8C2E0A"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noWrap/>
            <w:vAlign w:val="center"/>
          </w:tcPr>
          <w:p w14:paraId="02CEF5C7"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3" w:type="dxa"/>
            <w:shd w:val="clear" w:color="auto" w:fill="BFBFBF" w:themeFill="background1" w:themeFillShade="BF"/>
            <w:vAlign w:val="center"/>
          </w:tcPr>
          <w:p w14:paraId="58B772FD"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2" w:type="dxa"/>
            <w:shd w:val="clear" w:color="auto" w:fill="BFBFBF" w:themeFill="background1" w:themeFillShade="BF"/>
            <w:vAlign w:val="center"/>
          </w:tcPr>
          <w:p w14:paraId="10C32763"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709" w:type="dxa"/>
            <w:shd w:val="clear" w:color="auto" w:fill="BFBFBF" w:themeFill="background1" w:themeFillShade="BF"/>
            <w:vAlign w:val="center"/>
          </w:tcPr>
          <w:p w14:paraId="29CAB26B"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680" w:type="dxa"/>
            <w:shd w:val="clear" w:color="auto" w:fill="BFBFBF" w:themeFill="background1" w:themeFillShade="BF"/>
            <w:vAlign w:val="center"/>
          </w:tcPr>
          <w:p w14:paraId="602B8836"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r>
      <w:tr w:rsidR="004E0E3B" w:rsidRPr="00775BCA" w14:paraId="44D5042F" w14:textId="77777777" w:rsidTr="00514E14">
        <w:trPr>
          <w:trHeight w:val="375"/>
        </w:trPr>
        <w:tc>
          <w:tcPr>
            <w:tcW w:w="3828" w:type="dxa"/>
            <w:gridSpan w:val="2"/>
            <w:tcBorders>
              <w:bottom w:val="single" w:sz="4" w:space="0" w:color="auto"/>
            </w:tcBorders>
            <w:vAlign w:val="center"/>
          </w:tcPr>
          <w:p w14:paraId="30319455" w14:textId="77777777" w:rsidR="004E0E3B" w:rsidRPr="00925F82" w:rsidRDefault="1E767890" w:rsidP="004E0E3B">
            <w:pPr>
              <w:spacing w:line="240" w:lineRule="atLeast"/>
              <w:rPr>
                <w:rFonts w:ascii="Times New Roman" w:hAnsi="Times New Roman" w:cs="Times New Roman"/>
                <w:color w:val="000000"/>
                <w:sz w:val="20"/>
                <w:szCs w:val="20"/>
                <w:lang w:eastAsia="lt-LT"/>
              </w:rPr>
            </w:pPr>
            <w:r w:rsidRPr="092ADAC3">
              <w:rPr>
                <w:rFonts w:ascii="Times New Roman" w:hAnsi="Times New Roman" w:cs="Times New Roman"/>
                <w:color w:val="000000" w:themeColor="text1"/>
                <w:sz w:val="20"/>
                <w:szCs w:val="20"/>
              </w:rPr>
              <w:t>2. Kiti šaltiniai, išskyrus valstybės valdomų įmonių lėšas ir valstybės kontroliuojamų viešųjų įstaigų lėšas (Europos Sąjungos finansinė parama projektams įgyvendinti ir kitos teisėtai gautos lėšos, nurodant atskirus šaltinius)</w:t>
            </w:r>
          </w:p>
        </w:tc>
        <w:tc>
          <w:tcPr>
            <w:tcW w:w="1418" w:type="dxa"/>
            <w:vAlign w:val="center"/>
          </w:tcPr>
          <w:p w14:paraId="79145EFD" w14:textId="77777777" w:rsidR="004E0E3B" w:rsidRPr="003C0DC4" w:rsidRDefault="1E767890" w:rsidP="00A235FD">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247" w:type="dxa"/>
            <w:vAlign w:val="center"/>
          </w:tcPr>
          <w:p w14:paraId="1D8CFAA6" w14:textId="77777777" w:rsidR="004E0E3B" w:rsidRPr="003C0DC4" w:rsidRDefault="1E767890" w:rsidP="007A5062">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163" w:type="dxa"/>
            <w:vAlign w:val="center"/>
          </w:tcPr>
          <w:p w14:paraId="44786F5F" w14:textId="77777777" w:rsidR="004E0E3B" w:rsidRPr="003C0DC4" w:rsidRDefault="1E767890" w:rsidP="007A5062">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105" w:type="dxa"/>
            <w:tcBorders>
              <w:bottom w:val="single" w:sz="4" w:space="0" w:color="auto"/>
            </w:tcBorders>
            <w:vAlign w:val="center"/>
          </w:tcPr>
          <w:p w14:paraId="5B556AC6"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1021" w:type="dxa"/>
            <w:tcBorders>
              <w:bottom w:val="single" w:sz="4" w:space="0" w:color="auto"/>
            </w:tcBorders>
            <w:shd w:val="clear" w:color="auto" w:fill="BFBFBF" w:themeFill="background1" w:themeFillShade="BF"/>
            <w:vAlign w:val="center"/>
          </w:tcPr>
          <w:p w14:paraId="76EE10E8"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2" w:type="dxa"/>
            <w:tcBorders>
              <w:bottom w:val="single" w:sz="4" w:space="0" w:color="auto"/>
            </w:tcBorders>
            <w:shd w:val="clear" w:color="auto" w:fill="BFBFBF" w:themeFill="background1" w:themeFillShade="BF"/>
            <w:vAlign w:val="center"/>
          </w:tcPr>
          <w:p w14:paraId="260B9276"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2" w:type="dxa"/>
            <w:tcBorders>
              <w:bottom w:val="single" w:sz="4" w:space="0" w:color="auto"/>
            </w:tcBorders>
            <w:shd w:val="clear" w:color="auto" w:fill="BFBFBF" w:themeFill="background1" w:themeFillShade="BF"/>
            <w:noWrap/>
            <w:vAlign w:val="center"/>
          </w:tcPr>
          <w:p w14:paraId="24FE8E36"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3" w:type="dxa"/>
            <w:tcBorders>
              <w:bottom w:val="single" w:sz="4" w:space="0" w:color="auto"/>
            </w:tcBorders>
            <w:shd w:val="clear" w:color="auto" w:fill="BFBFBF" w:themeFill="background1" w:themeFillShade="BF"/>
            <w:vAlign w:val="center"/>
          </w:tcPr>
          <w:p w14:paraId="54A2832F"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992" w:type="dxa"/>
            <w:tcBorders>
              <w:bottom w:val="single" w:sz="4" w:space="0" w:color="auto"/>
            </w:tcBorders>
            <w:shd w:val="clear" w:color="auto" w:fill="BFBFBF" w:themeFill="background1" w:themeFillShade="BF"/>
            <w:vAlign w:val="center"/>
          </w:tcPr>
          <w:p w14:paraId="798F8C8B"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709" w:type="dxa"/>
            <w:tcBorders>
              <w:bottom w:val="single" w:sz="4" w:space="0" w:color="auto"/>
            </w:tcBorders>
            <w:shd w:val="clear" w:color="auto" w:fill="BFBFBF" w:themeFill="background1" w:themeFillShade="BF"/>
            <w:vAlign w:val="center"/>
          </w:tcPr>
          <w:p w14:paraId="130FB4F9"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c>
          <w:tcPr>
            <w:tcW w:w="680" w:type="dxa"/>
            <w:tcBorders>
              <w:bottom w:val="single" w:sz="4" w:space="0" w:color="auto"/>
            </w:tcBorders>
            <w:shd w:val="clear" w:color="auto" w:fill="BFBFBF" w:themeFill="background1" w:themeFillShade="BF"/>
            <w:vAlign w:val="center"/>
          </w:tcPr>
          <w:p w14:paraId="5C9E6D54" w14:textId="77777777" w:rsidR="004E0E3B" w:rsidRPr="00775BCA" w:rsidRDefault="004E0E3B" w:rsidP="004E0E3B">
            <w:pPr>
              <w:spacing w:line="240" w:lineRule="atLeast"/>
              <w:jc w:val="center"/>
              <w:rPr>
                <w:rFonts w:ascii="Times New Roman" w:hAnsi="Times New Roman" w:cs="Times New Roman"/>
                <w:color w:val="000000"/>
                <w:sz w:val="20"/>
                <w:szCs w:val="20"/>
                <w:lang w:eastAsia="lt-LT"/>
              </w:rPr>
            </w:pPr>
          </w:p>
        </w:tc>
      </w:tr>
      <w:tr w:rsidR="00AA037B" w:rsidRPr="00775BCA" w14:paraId="50C46C2E" w14:textId="77777777" w:rsidTr="00514E14">
        <w:trPr>
          <w:trHeight w:val="375"/>
        </w:trPr>
        <w:tc>
          <w:tcPr>
            <w:tcW w:w="3828" w:type="dxa"/>
            <w:gridSpan w:val="2"/>
            <w:tcBorders>
              <w:bottom w:val="single" w:sz="4" w:space="0" w:color="auto"/>
            </w:tcBorders>
            <w:vAlign w:val="center"/>
          </w:tcPr>
          <w:p w14:paraId="3B0E62A8" w14:textId="77777777" w:rsidR="00AA037B" w:rsidRPr="00775BCA" w:rsidRDefault="3A574DBE" w:rsidP="00AA037B">
            <w:pPr>
              <w:spacing w:line="240" w:lineRule="atLeast"/>
              <w:rPr>
                <w:rFonts w:ascii="Times New Roman" w:hAnsi="Times New Roman" w:cs="Times New Roman"/>
                <w:color w:val="000000"/>
                <w:sz w:val="20"/>
                <w:szCs w:val="20"/>
                <w:lang w:eastAsia="lt-LT"/>
              </w:rPr>
            </w:pPr>
            <w:r w:rsidRPr="092ADAC3">
              <w:rPr>
                <w:rFonts w:ascii="Times New Roman" w:hAnsi="Times New Roman" w:cs="Times New Roman"/>
                <w:color w:val="000000" w:themeColor="text1"/>
                <w:sz w:val="20"/>
                <w:szCs w:val="20"/>
              </w:rPr>
              <w:t>3. Valstybės valdomų įmonių lėšos</w:t>
            </w:r>
          </w:p>
        </w:tc>
        <w:tc>
          <w:tcPr>
            <w:tcW w:w="1418" w:type="dxa"/>
            <w:tcBorders>
              <w:bottom w:val="single" w:sz="4" w:space="0" w:color="auto"/>
            </w:tcBorders>
            <w:vAlign w:val="center"/>
          </w:tcPr>
          <w:p w14:paraId="31EB89DE" w14:textId="77777777" w:rsidR="00AA037B" w:rsidRPr="003C0DC4" w:rsidRDefault="71407441" w:rsidP="00AA037B">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247" w:type="dxa"/>
            <w:tcBorders>
              <w:bottom w:val="single" w:sz="4" w:space="0" w:color="auto"/>
            </w:tcBorders>
            <w:vAlign w:val="center"/>
          </w:tcPr>
          <w:p w14:paraId="3414E463" w14:textId="77777777" w:rsidR="00AA037B" w:rsidRPr="003C0DC4" w:rsidRDefault="71407441" w:rsidP="00AA037B">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163" w:type="dxa"/>
            <w:tcBorders>
              <w:bottom w:val="single" w:sz="4" w:space="0" w:color="auto"/>
            </w:tcBorders>
            <w:vAlign w:val="center"/>
          </w:tcPr>
          <w:p w14:paraId="208A8288" w14:textId="77777777" w:rsidR="00AA037B" w:rsidRPr="003C0DC4" w:rsidRDefault="71407441" w:rsidP="00AA037B">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105" w:type="dxa"/>
            <w:tcBorders>
              <w:bottom w:val="single" w:sz="4" w:space="0" w:color="auto"/>
            </w:tcBorders>
            <w:vAlign w:val="center"/>
          </w:tcPr>
          <w:p w14:paraId="7CBE69B4"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1021" w:type="dxa"/>
            <w:tcBorders>
              <w:bottom w:val="single" w:sz="4" w:space="0" w:color="auto"/>
            </w:tcBorders>
            <w:shd w:val="clear" w:color="auto" w:fill="BFBFBF" w:themeFill="background1" w:themeFillShade="BF"/>
            <w:vAlign w:val="center"/>
          </w:tcPr>
          <w:p w14:paraId="2FEA177A"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992" w:type="dxa"/>
            <w:tcBorders>
              <w:bottom w:val="single" w:sz="4" w:space="0" w:color="auto"/>
            </w:tcBorders>
            <w:shd w:val="clear" w:color="auto" w:fill="BFBFBF" w:themeFill="background1" w:themeFillShade="BF"/>
            <w:vAlign w:val="center"/>
          </w:tcPr>
          <w:p w14:paraId="42936B2D"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992" w:type="dxa"/>
            <w:tcBorders>
              <w:bottom w:val="single" w:sz="4" w:space="0" w:color="auto"/>
            </w:tcBorders>
            <w:shd w:val="clear" w:color="auto" w:fill="BFBFBF" w:themeFill="background1" w:themeFillShade="BF"/>
            <w:noWrap/>
            <w:vAlign w:val="center"/>
          </w:tcPr>
          <w:p w14:paraId="2C837E9B"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993" w:type="dxa"/>
            <w:tcBorders>
              <w:bottom w:val="single" w:sz="4" w:space="0" w:color="auto"/>
            </w:tcBorders>
            <w:shd w:val="clear" w:color="auto" w:fill="BFBFBF" w:themeFill="background1" w:themeFillShade="BF"/>
            <w:vAlign w:val="center"/>
          </w:tcPr>
          <w:p w14:paraId="4B9CD14E"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992" w:type="dxa"/>
            <w:tcBorders>
              <w:bottom w:val="single" w:sz="4" w:space="0" w:color="auto"/>
            </w:tcBorders>
            <w:shd w:val="clear" w:color="auto" w:fill="BFBFBF" w:themeFill="background1" w:themeFillShade="BF"/>
            <w:vAlign w:val="center"/>
          </w:tcPr>
          <w:p w14:paraId="5A1684BC"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709" w:type="dxa"/>
            <w:tcBorders>
              <w:bottom w:val="single" w:sz="4" w:space="0" w:color="auto"/>
            </w:tcBorders>
            <w:shd w:val="clear" w:color="auto" w:fill="BFBFBF" w:themeFill="background1" w:themeFillShade="BF"/>
            <w:vAlign w:val="center"/>
          </w:tcPr>
          <w:p w14:paraId="2CEF139D"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680" w:type="dxa"/>
            <w:tcBorders>
              <w:bottom w:val="single" w:sz="4" w:space="0" w:color="auto"/>
            </w:tcBorders>
            <w:shd w:val="clear" w:color="auto" w:fill="BFBFBF" w:themeFill="background1" w:themeFillShade="BF"/>
            <w:vAlign w:val="center"/>
          </w:tcPr>
          <w:p w14:paraId="6AD0366A"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r>
      <w:tr w:rsidR="00AA037B" w:rsidRPr="00775BCA" w14:paraId="562F0B9A" w14:textId="77777777" w:rsidTr="00514E14">
        <w:trPr>
          <w:trHeight w:val="375"/>
        </w:trPr>
        <w:tc>
          <w:tcPr>
            <w:tcW w:w="3828" w:type="dxa"/>
            <w:gridSpan w:val="2"/>
            <w:tcBorders>
              <w:top w:val="single" w:sz="4" w:space="0" w:color="auto"/>
              <w:bottom w:val="double" w:sz="4" w:space="0" w:color="auto"/>
            </w:tcBorders>
            <w:vAlign w:val="center"/>
          </w:tcPr>
          <w:p w14:paraId="1A76FB4D" w14:textId="77777777" w:rsidR="00AA037B" w:rsidRPr="00775BCA" w:rsidRDefault="3A574DBE" w:rsidP="00AA037B">
            <w:pPr>
              <w:spacing w:line="240" w:lineRule="atLeast"/>
              <w:rPr>
                <w:rFonts w:ascii="Times New Roman" w:hAnsi="Times New Roman" w:cs="Times New Roman"/>
                <w:color w:val="000000"/>
                <w:sz w:val="20"/>
                <w:szCs w:val="20"/>
                <w:lang w:eastAsia="lt-LT"/>
              </w:rPr>
            </w:pPr>
            <w:r w:rsidRPr="092ADAC3">
              <w:rPr>
                <w:rFonts w:ascii="Times New Roman" w:hAnsi="Times New Roman" w:cs="Times New Roman"/>
                <w:color w:val="000000" w:themeColor="text1"/>
                <w:sz w:val="20"/>
                <w:szCs w:val="20"/>
              </w:rPr>
              <w:lastRenderedPageBreak/>
              <w:t>4. Valstybės kontroliuojamų viešųjų įstaigų lėšos</w:t>
            </w:r>
          </w:p>
        </w:tc>
        <w:tc>
          <w:tcPr>
            <w:tcW w:w="1418" w:type="dxa"/>
            <w:tcBorders>
              <w:top w:val="single" w:sz="4" w:space="0" w:color="auto"/>
              <w:bottom w:val="double" w:sz="4" w:space="0" w:color="auto"/>
            </w:tcBorders>
            <w:vAlign w:val="center"/>
          </w:tcPr>
          <w:p w14:paraId="61938399" w14:textId="77777777" w:rsidR="00AA037B" w:rsidRPr="003C0DC4" w:rsidRDefault="71407441" w:rsidP="00AA037B">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247" w:type="dxa"/>
            <w:tcBorders>
              <w:top w:val="single" w:sz="4" w:space="0" w:color="auto"/>
              <w:bottom w:val="double" w:sz="4" w:space="0" w:color="auto"/>
            </w:tcBorders>
            <w:vAlign w:val="center"/>
          </w:tcPr>
          <w:p w14:paraId="732C817C" w14:textId="77777777" w:rsidR="00AA037B" w:rsidRPr="003C0DC4" w:rsidRDefault="71407441" w:rsidP="00AA037B">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163" w:type="dxa"/>
            <w:tcBorders>
              <w:top w:val="single" w:sz="4" w:space="0" w:color="auto"/>
              <w:bottom w:val="double" w:sz="4" w:space="0" w:color="auto"/>
            </w:tcBorders>
            <w:vAlign w:val="center"/>
          </w:tcPr>
          <w:p w14:paraId="0D706A63" w14:textId="77777777" w:rsidR="00AA037B" w:rsidRPr="003C0DC4" w:rsidRDefault="71407441" w:rsidP="00AA037B">
            <w:pPr>
              <w:spacing w:line="240" w:lineRule="atLeast"/>
              <w:jc w:val="center"/>
              <w:rPr>
                <w:rFonts w:ascii="Times New Roman" w:hAnsi="Times New Roman" w:cs="Times New Roman"/>
                <w:color w:val="000000"/>
                <w:sz w:val="20"/>
                <w:szCs w:val="20"/>
                <w:lang w:eastAsia="lt-LT"/>
              </w:rPr>
            </w:pPr>
            <w:r w:rsidRPr="003C0DC4">
              <w:rPr>
                <w:rFonts w:ascii="Times New Roman" w:hAnsi="Times New Roman" w:cs="Times New Roman"/>
                <w:color w:val="000000" w:themeColor="text1"/>
                <w:sz w:val="20"/>
                <w:szCs w:val="20"/>
              </w:rPr>
              <w:t>-</w:t>
            </w:r>
          </w:p>
        </w:tc>
        <w:tc>
          <w:tcPr>
            <w:tcW w:w="1105" w:type="dxa"/>
            <w:tcBorders>
              <w:top w:val="single" w:sz="4" w:space="0" w:color="auto"/>
              <w:bottom w:val="double" w:sz="4" w:space="0" w:color="auto"/>
            </w:tcBorders>
            <w:vAlign w:val="center"/>
          </w:tcPr>
          <w:p w14:paraId="2CAE00A7"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1021" w:type="dxa"/>
            <w:tcBorders>
              <w:top w:val="single" w:sz="4" w:space="0" w:color="auto"/>
              <w:bottom w:val="double" w:sz="4" w:space="0" w:color="auto"/>
            </w:tcBorders>
            <w:shd w:val="clear" w:color="auto" w:fill="BFBFBF" w:themeFill="background1" w:themeFillShade="BF"/>
            <w:vAlign w:val="center"/>
          </w:tcPr>
          <w:p w14:paraId="2A5BD259"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992" w:type="dxa"/>
            <w:tcBorders>
              <w:top w:val="single" w:sz="4" w:space="0" w:color="auto"/>
              <w:bottom w:val="double" w:sz="4" w:space="0" w:color="auto"/>
            </w:tcBorders>
            <w:shd w:val="clear" w:color="auto" w:fill="BFBFBF" w:themeFill="background1" w:themeFillShade="BF"/>
            <w:vAlign w:val="center"/>
          </w:tcPr>
          <w:p w14:paraId="1FA16558"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992" w:type="dxa"/>
            <w:tcBorders>
              <w:top w:val="single" w:sz="4" w:space="0" w:color="auto"/>
              <w:bottom w:val="double" w:sz="4" w:space="0" w:color="auto"/>
            </w:tcBorders>
            <w:shd w:val="clear" w:color="auto" w:fill="BFBFBF" w:themeFill="background1" w:themeFillShade="BF"/>
            <w:noWrap/>
            <w:vAlign w:val="center"/>
          </w:tcPr>
          <w:p w14:paraId="0DB99F9D"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993" w:type="dxa"/>
            <w:tcBorders>
              <w:top w:val="single" w:sz="4" w:space="0" w:color="auto"/>
              <w:bottom w:val="double" w:sz="4" w:space="0" w:color="auto"/>
            </w:tcBorders>
            <w:shd w:val="clear" w:color="auto" w:fill="BFBFBF" w:themeFill="background1" w:themeFillShade="BF"/>
            <w:vAlign w:val="center"/>
          </w:tcPr>
          <w:p w14:paraId="252CF7D1"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992" w:type="dxa"/>
            <w:tcBorders>
              <w:top w:val="single" w:sz="4" w:space="0" w:color="auto"/>
              <w:bottom w:val="double" w:sz="4" w:space="0" w:color="auto"/>
            </w:tcBorders>
            <w:shd w:val="clear" w:color="auto" w:fill="BFBFBF" w:themeFill="background1" w:themeFillShade="BF"/>
            <w:vAlign w:val="center"/>
          </w:tcPr>
          <w:p w14:paraId="492BE617"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709" w:type="dxa"/>
            <w:tcBorders>
              <w:top w:val="single" w:sz="4" w:space="0" w:color="auto"/>
              <w:bottom w:val="double" w:sz="4" w:space="0" w:color="auto"/>
            </w:tcBorders>
            <w:shd w:val="clear" w:color="auto" w:fill="BFBFBF" w:themeFill="background1" w:themeFillShade="BF"/>
            <w:vAlign w:val="center"/>
          </w:tcPr>
          <w:p w14:paraId="3426E00A"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c>
          <w:tcPr>
            <w:tcW w:w="680" w:type="dxa"/>
            <w:tcBorders>
              <w:top w:val="single" w:sz="4" w:space="0" w:color="auto"/>
              <w:bottom w:val="double" w:sz="4" w:space="0" w:color="auto"/>
            </w:tcBorders>
            <w:shd w:val="clear" w:color="auto" w:fill="BFBFBF" w:themeFill="background1" w:themeFillShade="BF"/>
            <w:vAlign w:val="center"/>
          </w:tcPr>
          <w:p w14:paraId="526DB7BF" w14:textId="77777777" w:rsidR="00AA037B" w:rsidRPr="00775BCA" w:rsidRDefault="00AA037B" w:rsidP="00AA037B">
            <w:pPr>
              <w:spacing w:line="240" w:lineRule="atLeast"/>
              <w:jc w:val="center"/>
              <w:rPr>
                <w:rFonts w:ascii="Times New Roman" w:hAnsi="Times New Roman" w:cs="Times New Roman"/>
                <w:color w:val="000000"/>
                <w:sz w:val="20"/>
                <w:szCs w:val="20"/>
                <w:lang w:eastAsia="lt-LT"/>
              </w:rPr>
            </w:pPr>
          </w:p>
        </w:tc>
      </w:tr>
      <w:tr w:rsidR="003C0DC4" w:rsidRPr="00775BCA" w14:paraId="0CEB2F3D" w14:textId="77777777" w:rsidTr="00514E14">
        <w:trPr>
          <w:trHeight w:val="375"/>
        </w:trPr>
        <w:tc>
          <w:tcPr>
            <w:tcW w:w="3828" w:type="dxa"/>
            <w:gridSpan w:val="2"/>
            <w:tcBorders>
              <w:top w:val="double" w:sz="4" w:space="0" w:color="auto"/>
              <w:bottom w:val="double" w:sz="4" w:space="0" w:color="auto"/>
            </w:tcBorders>
            <w:vAlign w:val="center"/>
          </w:tcPr>
          <w:p w14:paraId="65DCFE64" w14:textId="77777777" w:rsidR="003C0DC4" w:rsidRPr="000B3045" w:rsidRDefault="003C0DC4" w:rsidP="003C0DC4">
            <w:pPr>
              <w:spacing w:line="240" w:lineRule="atLeast"/>
              <w:rPr>
                <w:rFonts w:ascii="Times New Roman" w:hAnsi="Times New Roman" w:cs="Times New Roman"/>
                <w:b/>
                <w:bCs/>
                <w:color w:val="000000"/>
                <w:sz w:val="20"/>
                <w:szCs w:val="20"/>
                <w:lang w:eastAsia="lt-LT"/>
              </w:rPr>
            </w:pPr>
            <w:r w:rsidRPr="092ADAC3">
              <w:rPr>
                <w:rFonts w:ascii="Times New Roman" w:hAnsi="Times New Roman" w:cs="Times New Roman"/>
                <w:b/>
                <w:bCs/>
                <w:color w:val="000000" w:themeColor="text1"/>
                <w:sz w:val="20"/>
                <w:szCs w:val="20"/>
              </w:rPr>
              <w:t>Iš viso 01 programos veiklos uždaviniui „</w:t>
            </w:r>
            <w:r w:rsidRPr="092ADAC3">
              <w:rPr>
                <w:rFonts w:ascii="Times New Roman" w:hAnsi="Times New Roman" w:cs="Times New Roman"/>
                <w:b/>
                <w:bCs/>
                <w:sz w:val="20"/>
                <w:szCs w:val="20"/>
              </w:rPr>
              <w:t>Užtikrinti tinkamą administruojamo ūkio valdymą, centralizuotą aprūpinimą ir konsoliduotų  paslaugų teikimą</w:t>
            </w:r>
            <w:r w:rsidRPr="092ADAC3">
              <w:rPr>
                <w:rFonts w:ascii="Times New Roman" w:hAnsi="Times New Roman" w:cs="Times New Roman"/>
                <w:b/>
                <w:bCs/>
                <w:color w:val="000000" w:themeColor="text1"/>
                <w:sz w:val="20"/>
                <w:szCs w:val="20"/>
              </w:rPr>
              <w:t xml:space="preserve"> (1 +2 + 3+ 4)“</w:t>
            </w:r>
          </w:p>
        </w:tc>
        <w:tc>
          <w:tcPr>
            <w:tcW w:w="1418" w:type="dxa"/>
            <w:tcBorders>
              <w:top w:val="double" w:sz="4" w:space="0" w:color="auto"/>
            </w:tcBorders>
          </w:tcPr>
          <w:p w14:paraId="67A7D17A" w14:textId="75DFBB13" w:rsidR="003C0DC4" w:rsidRPr="00B96F7F" w:rsidRDefault="003C0DC4" w:rsidP="16BBCD38">
            <w:pPr>
              <w:spacing w:line="240" w:lineRule="atLeast"/>
              <w:jc w:val="center"/>
              <w:rPr>
                <w:rFonts w:ascii="Times New Roman" w:hAnsi="Times New Roman" w:cs="Times New Roman"/>
                <w:strike/>
                <w:color w:val="000000" w:themeColor="text1"/>
                <w:sz w:val="20"/>
                <w:szCs w:val="20"/>
                <w:lang w:eastAsia="lt-LT"/>
              </w:rPr>
            </w:pPr>
          </w:p>
          <w:p w14:paraId="6A182E4C" w14:textId="3AE1B661" w:rsidR="003C0DC4" w:rsidRPr="00232659" w:rsidRDefault="756CA50C" w:rsidP="070233B9">
            <w:pPr>
              <w:spacing w:line="240" w:lineRule="atLeast"/>
              <w:jc w:val="center"/>
              <w:rPr>
                <w:rFonts w:ascii="Times New Roman" w:hAnsi="Times New Roman" w:cs="Times New Roman"/>
                <w:sz w:val="20"/>
                <w:szCs w:val="20"/>
                <w:lang w:eastAsia="lt-LT"/>
              </w:rPr>
            </w:pPr>
            <w:r w:rsidRPr="070233B9">
              <w:rPr>
                <w:rFonts w:ascii="Times New Roman" w:hAnsi="Times New Roman" w:cs="Times New Roman"/>
                <w:sz w:val="20"/>
                <w:szCs w:val="20"/>
              </w:rPr>
              <w:t>3786,0</w:t>
            </w:r>
          </w:p>
        </w:tc>
        <w:tc>
          <w:tcPr>
            <w:tcW w:w="1247" w:type="dxa"/>
            <w:tcBorders>
              <w:top w:val="double" w:sz="4" w:space="0" w:color="auto"/>
            </w:tcBorders>
          </w:tcPr>
          <w:p w14:paraId="59D1D548" w14:textId="2318C99B" w:rsidR="003C0DC4" w:rsidRPr="00B96F7F" w:rsidRDefault="003C0DC4" w:rsidP="16BBCD38">
            <w:pPr>
              <w:spacing w:line="240" w:lineRule="atLeast"/>
              <w:jc w:val="center"/>
              <w:rPr>
                <w:rFonts w:ascii="Times New Roman" w:hAnsi="Times New Roman" w:cs="Times New Roman"/>
                <w:strike/>
                <w:color w:val="000000" w:themeColor="text1"/>
                <w:sz w:val="20"/>
                <w:szCs w:val="20"/>
                <w:lang w:eastAsia="lt-LT"/>
              </w:rPr>
            </w:pPr>
          </w:p>
          <w:p w14:paraId="3CB50FFF" w14:textId="2DAB9D9C" w:rsidR="003C0DC4" w:rsidRPr="00232659" w:rsidRDefault="668D4C74" w:rsidP="070233B9">
            <w:pPr>
              <w:spacing w:line="240" w:lineRule="atLeast"/>
              <w:jc w:val="center"/>
              <w:rPr>
                <w:rFonts w:ascii="Times New Roman" w:hAnsi="Times New Roman" w:cs="Times New Roman"/>
                <w:sz w:val="20"/>
                <w:szCs w:val="20"/>
                <w:lang w:eastAsia="lt-LT"/>
              </w:rPr>
            </w:pPr>
            <w:r w:rsidRPr="070233B9">
              <w:rPr>
                <w:rFonts w:ascii="Times New Roman" w:hAnsi="Times New Roman" w:cs="Times New Roman"/>
                <w:sz w:val="20"/>
                <w:szCs w:val="20"/>
              </w:rPr>
              <w:t>34</w:t>
            </w:r>
            <w:r w:rsidR="00CA09D4">
              <w:rPr>
                <w:rFonts w:ascii="Times New Roman" w:hAnsi="Times New Roman" w:cs="Times New Roman"/>
                <w:sz w:val="20"/>
                <w:szCs w:val="20"/>
              </w:rPr>
              <w:t>16,2</w:t>
            </w:r>
          </w:p>
        </w:tc>
        <w:tc>
          <w:tcPr>
            <w:tcW w:w="1163" w:type="dxa"/>
            <w:tcBorders>
              <w:top w:val="double" w:sz="4" w:space="0" w:color="auto"/>
            </w:tcBorders>
          </w:tcPr>
          <w:p w14:paraId="76F9CBC9" w14:textId="20ADBEC2" w:rsidR="003C0DC4" w:rsidRPr="00B96F7F" w:rsidRDefault="003C0DC4" w:rsidP="16BBCD38">
            <w:pPr>
              <w:spacing w:line="240" w:lineRule="atLeast"/>
              <w:jc w:val="center"/>
              <w:rPr>
                <w:rFonts w:ascii="Times New Roman" w:hAnsi="Times New Roman" w:cs="Times New Roman"/>
                <w:strike/>
                <w:color w:val="000000" w:themeColor="text1"/>
                <w:sz w:val="20"/>
                <w:szCs w:val="20"/>
                <w:lang w:eastAsia="lt-LT"/>
              </w:rPr>
            </w:pPr>
          </w:p>
          <w:p w14:paraId="0933832E" w14:textId="2BCA3859" w:rsidR="003C0DC4" w:rsidRPr="00232659" w:rsidRDefault="00CA09D4" w:rsidP="070233B9">
            <w:pPr>
              <w:spacing w:line="240" w:lineRule="atLeast"/>
              <w:jc w:val="center"/>
              <w:rPr>
                <w:rFonts w:ascii="Times New Roman" w:hAnsi="Times New Roman" w:cs="Times New Roman"/>
                <w:sz w:val="20"/>
                <w:szCs w:val="20"/>
                <w:lang w:eastAsia="lt-LT"/>
              </w:rPr>
            </w:pPr>
            <w:r>
              <w:rPr>
                <w:rFonts w:ascii="Times New Roman" w:hAnsi="Times New Roman" w:cs="Times New Roman"/>
                <w:sz w:val="20"/>
                <w:szCs w:val="20"/>
              </w:rPr>
              <w:t>90,2</w:t>
            </w:r>
          </w:p>
        </w:tc>
        <w:tc>
          <w:tcPr>
            <w:tcW w:w="1105" w:type="dxa"/>
            <w:tcBorders>
              <w:top w:val="double" w:sz="4" w:space="0" w:color="auto"/>
              <w:bottom w:val="double" w:sz="4" w:space="0" w:color="auto"/>
            </w:tcBorders>
            <w:vAlign w:val="center"/>
          </w:tcPr>
          <w:p w14:paraId="183C3183" w14:textId="77777777" w:rsidR="003C0DC4" w:rsidRPr="002C6C2D" w:rsidRDefault="003C0DC4" w:rsidP="003C0DC4">
            <w:pPr>
              <w:spacing w:line="240" w:lineRule="atLeast"/>
              <w:jc w:val="center"/>
              <w:rPr>
                <w:rFonts w:ascii="Times New Roman" w:hAnsi="Times New Roman" w:cs="Times New Roman"/>
                <w:color w:val="000000"/>
                <w:sz w:val="20"/>
                <w:szCs w:val="20"/>
                <w:lang w:eastAsia="lt-LT"/>
              </w:rPr>
            </w:pPr>
          </w:p>
        </w:tc>
        <w:tc>
          <w:tcPr>
            <w:tcW w:w="1021" w:type="dxa"/>
            <w:tcBorders>
              <w:top w:val="double" w:sz="4" w:space="0" w:color="auto"/>
              <w:bottom w:val="double" w:sz="4" w:space="0" w:color="auto"/>
            </w:tcBorders>
            <w:shd w:val="clear" w:color="auto" w:fill="BFBFBF" w:themeFill="background1" w:themeFillShade="BF"/>
            <w:vAlign w:val="center"/>
          </w:tcPr>
          <w:p w14:paraId="58443219" w14:textId="77777777" w:rsidR="003C0DC4" w:rsidRPr="00925F82" w:rsidRDefault="003C0DC4" w:rsidP="003C0DC4">
            <w:pPr>
              <w:spacing w:line="240" w:lineRule="atLeast"/>
              <w:jc w:val="center"/>
              <w:rPr>
                <w:rFonts w:ascii="Times New Roman" w:hAnsi="Times New Roman" w:cs="Times New Roman"/>
                <w:color w:val="000000"/>
                <w:sz w:val="20"/>
                <w:szCs w:val="20"/>
                <w:lang w:eastAsia="lt-LT"/>
              </w:rPr>
            </w:pPr>
          </w:p>
        </w:tc>
        <w:tc>
          <w:tcPr>
            <w:tcW w:w="992" w:type="dxa"/>
            <w:tcBorders>
              <w:top w:val="double" w:sz="4" w:space="0" w:color="auto"/>
              <w:bottom w:val="double" w:sz="4" w:space="0" w:color="auto"/>
            </w:tcBorders>
            <w:shd w:val="clear" w:color="auto" w:fill="BFBFBF" w:themeFill="background1" w:themeFillShade="BF"/>
            <w:vAlign w:val="center"/>
          </w:tcPr>
          <w:p w14:paraId="4B42DC2C" w14:textId="77777777" w:rsidR="003C0DC4" w:rsidRPr="000331C3" w:rsidRDefault="003C0DC4" w:rsidP="003C0DC4">
            <w:pPr>
              <w:spacing w:line="240" w:lineRule="atLeast"/>
              <w:jc w:val="center"/>
              <w:rPr>
                <w:rFonts w:ascii="Times New Roman" w:hAnsi="Times New Roman" w:cs="Times New Roman"/>
                <w:color w:val="000000"/>
                <w:sz w:val="20"/>
                <w:szCs w:val="20"/>
                <w:lang w:eastAsia="lt-LT"/>
              </w:rPr>
            </w:pPr>
          </w:p>
        </w:tc>
        <w:tc>
          <w:tcPr>
            <w:tcW w:w="992" w:type="dxa"/>
            <w:tcBorders>
              <w:top w:val="double" w:sz="4" w:space="0" w:color="auto"/>
              <w:bottom w:val="double" w:sz="4" w:space="0" w:color="auto"/>
            </w:tcBorders>
            <w:shd w:val="clear" w:color="auto" w:fill="BFBFBF" w:themeFill="background1" w:themeFillShade="BF"/>
            <w:noWrap/>
            <w:vAlign w:val="center"/>
          </w:tcPr>
          <w:p w14:paraId="5F055DD2" w14:textId="77777777" w:rsidR="003C0DC4" w:rsidRPr="00E86E17" w:rsidRDefault="003C0DC4" w:rsidP="003C0DC4">
            <w:pPr>
              <w:spacing w:line="240" w:lineRule="atLeast"/>
              <w:jc w:val="center"/>
              <w:rPr>
                <w:rFonts w:ascii="Times New Roman" w:hAnsi="Times New Roman" w:cs="Times New Roman"/>
                <w:color w:val="000000"/>
                <w:sz w:val="20"/>
                <w:szCs w:val="20"/>
                <w:lang w:eastAsia="lt-LT"/>
              </w:rPr>
            </w:pPr>
          </w:p>
        </w:tc>
        <w:tc>
          <w:tcPr>
            <w:tcW w:w="993" w:type="dxa"/>
            <w:tcBorders>
              <w:top w:val="double" w:sz="4" w:space="0" w:color="auto"/>
              <w:bottom w:val="double" w:sz="4" w:space="0" w:color="auto"/>
            </w:tcBorders>
            <w:shd w:val="clear" w:color="auto" w:fill="BFBFBF" w:themeFill="background1" w:themeFillShade="BF"/>
            <w:vAlign w:val="center"/>
          </w:tcPr>
          <w:p w14:paraId="6BED3952"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992" w:type="dxa"/>
            <w:tcBorders>
              <w:top w:val="double" w:sz="4" w:space="0" w:color="auto"/>
              <w:bottom w:val="double" w:sz="4" w:space="0" w:color="auto"/>
            </w:tcBorders>
            <w:shd w:val="clear" w:color="auto" w:fill="BFBFBF" w:themeFill="background1" w:themeFillShade="BF"/>
            <w:vAlign w:val="center"/>
          </w:tcPr>
          <w:p w14:paraId="06BCFE8C"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709" w:type="dxa"/>
            <w:tcBorders>
              <w:top w:val="double" w:sz="4" w:space="0" w:color="auto"/>
              <w:bottom w:val="double" w:sz="4" w:space="0" w:color="auto"/>
            </w:tcBorders>
            <w:shd w:val="clear" w:color="auto" w:fill="BFBFBF" w:themeFill="background1" w:themeFillShade="BF"/>
            <w:vAlign w:val="center"/>
          </w:tcPr>
          <w:p w14:paraId="1B7DE8CC"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c>
          <w:tcPr>
            <w:tcW w:w="680" w:type="dxa"/>
            <w:tcBorders>
              <w:top w:val="double" w:sz="4" w:space="0" w:color="auto"/>
              <w:bottom w:val="double" w:sz="4" w:space="0" w:color="auto"/>
            </w:tcBorders>
            <w:shd w:val="clear" w:color="auto" w:fill="BFBFBF" w:themeFill="background1" w:themeFillShade="BF"/>
            <w:vAlign w:val="center"/>
          </w:tcPr>
          <w:p w14:paraId="4858ACD4" w14:textId="77777777" w:rsidR="003C0DC4" w:rsidRPr="00775BCA" w:rsidRDefault="003C0DC4" w:rsidP="003C0DC4">
            <w:pPr>
              <w:spacing w:line="240" w:lineRule="atLeast"/>
              <w:jc w:val="center"/>
              <w:rPr>
                <w:rFonts w:ascii="Times New Roman" w:hAnsi="Times New Roman" w:cs="Times New Roman"/>
                <w:color w:val="000000"/>
                <w:sz w:val="20"/>
                <w:szCs w:val="20"/>
                <w:lang w:eastAsia="lt-LT"/>
              </w:rPr>
            </w:pPr>
          </w:p>
        </w:tc>
      </w:tr>
    </w:tbl>
    <w:p w14:paraId="357FF20E" w14:textId="77777777" w:rsidR="00770BEF" w:rsidRDefault="00770BEF" w:rsidP="092ADAC3">
      <w:pPr>
        <w:ind w:firstLine="709"/>
        <w:jc w:val="center"/>
        <w:rPr>
          <w:rFonts w:ascii="Times New Roman" w:hAnsi="Times New Roman" w:cs="Times New Roman"/>
          <w:b/>
          <w:bCs/>
        </w:rPr>
        <w:sectPr w:rsidR="00770BEF" w:rsidSect="002819F2">
          <w:headerReference w:type="default" r:id="rId16"/>
          <w:headerReference w:type="first" r:id="rId17"/>
          <w:footerReference w:type="first" r:id="rId18"/>
          <w:footnotePr>
            <w:numFmt w:val="chicago"/>
          </w:footnotePr>
          <w:pgSz w:w="16838" w:h="11906" w:orient="landscape"/>
          <w:pgMar w:top="1701" w:right="1440" w:bottom="567" w:left="1440" w:header="561" w:footer="561" w:gutter="0"/>
          <w:cols w:space="1296"/>
          <w:titlePg/>
          <w:docGrid w:linePitch="360"/>
        </w:sectPr>
      </w:pPr>
    </w:p>
    <w:p w14:paraId="0875D416" w14:textId="77777777" w:rsidR="00AA037B" w:rsidRPr="00E46817" w:rsidRDefault="00770BEF" w:rsidP="092ADAC3">
      <w:pPr>
        <w:spacing w:line="240" w:lineRule="auto"/>
        <w:ind w:firstLine="709"/>
        <w:jc w:val="center"/>
        <w:rPr>
          <w:rFonts w:ascii="Times New Roman" w:hAnsi="Times New Roman" w:cs="Times New Roman"/>
          <w:b/>
          <w:bCs/>
          <w:sz w:val="24"/>
          <w:szCs w:val="24"/>
        </w:rPr>
      </w:pPr>
      <w:r w:rsidRPr="00E46817">
        <w:rPr>
          <w:rFonts w:ascii="Times New Roman" w:hAnsi="Times New Roman" w:cs="Times New Roman"/>
          <w:b/>
          <w:bCs/>
          <w:sz w:val="24"/>
          <w:szCs w:val="24"/>
        </w:rPr>
        <w:lastRenderedPageBreak/>
        <w:t xml:space="preserve">Programos </w:t>
      </w:r>
      <w:r w:rsidR="004C1095" w:rsidRPr="00E46817">
        <w:rPr>
          <w:rFonts w:ascii="Times New Roman" w:hAnsi="Times New Roman" w:cs="Times New Roman"/>
          <w:b/>
          <w:bCs/>
          <w:sz w:val="24"/>
          <w:szCs w:val="24"/>
        </w:rPr>
        <w:t xml:space="preserve">antrojo veiklos tikslo 01-001-12 „Plėtoti vidaus reikalų infrastruktūrą ir paslaugas“ veiklos </w:t>
      </w:r>
      <w:r w:rsidRPr="00E46817">
        <w:rPr>
          <w:rFonts w:ascii="Times New Roman" w:hAnsi="Times New Roman" w:cs="Times New Roman"/>
          <w:b/>
          <w:bCs/>
          <w:sz w:val="24"/>
          <w:szCs w:val="24"/>
        </w:rPr>
        <w:t>uždavinio 01-001-12-01 „Užtikrinti tinkamą administruojamo ūkio valdymą, centralizuotą aprūpinimą ir konsoliduotų paslaugų teikimą</w:t>
      </w:r>
      <w:r w:rsidR="004C1095" w:rsidRPr="00E46817">
        <w:rPr>
          <w:rFonts w:ascii="Times New Roman" w:hAnsi="Times New Roman" w:cs="Times New Roman"/>
          <w:b/>
          <w:bCs/>
          <w:sz w:val="24"/>
          <w:szCs w:val="24"/>
        </w:rPr>
        <w:t xml:space="preserve">“ įgyvendinimas </w:t>
      </w:r>
    </w:p>
    <w:p w14:paraId="2B561108" w14:textId="77777777" w:rsidR="00AA037B" w:rsidRPr="005E2185" w:rsidRDefault="00AA037B" w:rsidP="092ADAC3">
      <w:pPr>
        <w:spacing w:line="240" w:lineRule="auto"/>
        <w:ind w:firstLine="709"/>
        <w:rPr>
          <w:rFonts w:ascii="Times New Roman" w:hAnsi="Times New Roman" w:cs="Times New Roman"/>
          <w:b/>
          <w:bCs/>
          <w:sz w:val="24"/>
          <w:szCs w:val="24"/>
        </w:rPr>
      </w:pPr>
    </w:p>
    <w:p w14:paraId="1FD82CDC" w14:textId="2CECC02C" w:rsidR="00C00CC4" w:rsidRPr="00184C83" w:rsidRDefault="3384E1CD" w:rsidP="00184C83">
      <w:pPr>
        <w:pStyle w:val="Pagrindinistekstas"/>
        <w:widowControl w:val="0"/>
        <w:spacing w:after="0" w:line="276" w:lineRule="auto"/>
        <w:jc w:val="both"/>
        <w:rPr>
          <w:rFonts w:ascii="Times New Roman" w:eastAsia="Times New Roman" w:hAnsi="Times New Roman" w:cs="Times New Roman"/>
          <w:b/>
          <w:bCs/>
          <w:sz w:val="24"/>
          <w:szCs w:val="24"/>
        </w:rPr>
      </w:pPr>
      <w:r w:rsidRPr="005E2185">
        <w:rPr>
          <w:rFonts w:ascii="Times New Roman" w:hAnsi="Times New Roman" w:cs="Times New Roman"/>
          <w:sz w:val="24"/>
          <w:szCs w:val="24"/>
        </w:rPr>
        <w:t>1 paveikslas.</w:t>
      </w:r>
      <w:r w:rsidRPr="005E2185">
        <w:rPr>
          <w:rFonts w:ascii="Times New Roman" w:hAnsi="Times New Roman" w:cs="Times New Roman"/>
          <w:i/>
          <w:iCs/>
          <w:sz w:val="24"/>
          <w:szCs w:val="24"/>
        </w:rPr>
        <w:t xml:space="preserve"> </w:t>
      </w:r>
      <w:r w:rsidRPr="000A712B">
        <w:rPr>
          <w:rFonts w:ascii="Times New Roman" w:hAnsi="Times New Roman" w:cs="Times New Roman"/>
          <w:b/>
          <w:bCs/>
          <w:sz w:val="24"/>
          <w:szCs w:val="24"/>
        </w:rPr>
        <w:t>R-01-001-12-01-01</w:t>
      </w:r>
      <w:r w:rsidR="6D24AE98" w:rsidRPr="005E2185">
        <w:rPr>
          <w:rFonts w:ascii="Times New Roman" w:eastAsia="Times New Roman" w:hAnsi="Times New Roman" w:cs="Times New Roman"/>
          <w:b/>
          <w:bCs/>
          <w:sz w:val="24"/>
          <w:szCs w:val="24"/>
        </w:rPr>
        <w:t xml:space="preserve"> </w:t>
      </w:r>
      <w:r w:rsidR="003E4DB6" w:rsidRPr="005E2185">
        <w:rPr>
          <w:rFonts w:ascii="Times New Roman" w:eastAsia="Times New Roman" w:hAnsi="Times New Roman" w:cs="Times New Roman"/>
          <w:b/>
          <w:bCs/>
          <w:sz w:val="24"/>
          <w:szCs w:val="24"/>
        </w:rPr>
        <w:t>Centralizuotai turtą administruojamų įstaigų</w:t>
      </w:r>
      <w:r w:rsidR="6D24AE98" w:rsidRPr="00BC0C88">
        <w:rPr>
          <w:rFonts w:ascii="Times New Roman" w:eastAsia="Times New Roman" w:hAnsi="Times New Roman" w:cs="Times New Roman"/>
          <w:b/>
          <w:bCs/>
          <w:sz w:val="24"/>
          <w:szCs w:val="24"/>
        </w:rPr>
        <w:t xml:space="preserve"> darbuotojų pasitenkinimas darbo vieta ir jos aprūpinimu darbo priemonėmis, ne mažiau kaip, proc.</w:t>
      </w:r>
    </w:p>
    <w:p w14:paraId="79A8E769" w14:textId="3FB29726" w:rsidR="002A51A1" w:rsidRPr="00C53FA1" w:rsidRDefault="4A7852A8" w:rsidP="00C00CC4">
      <w:pPr>
        <w:pStyle w:val="Pagrindinistekstas"/>
        <w:widowControl w:val="0"/>
        <w:spacing w:line="240" w:lineRule="auto"/>
        <w:rPr>
          <w:rFonts w:ascii="Times New Roman" w:hAnsi="Times New Roman" w:cs="Times New Roman"/>
          <w:strike/>
          <w:sz w:val="22"/>
          <w:szCs w:val="22"/>
        </w:rPr>
      </w:pPr>
      <w:r w:rsidRPr="00C53FA1">
        <w:rPr>
          <w:strike/>
          <w:noProof/>
        </w:rPr>
        <w:drawing>
          <wp:inline distT="0" distB="0" distL="0" distR="0" wp14:anchorId="076CB342" wp14:editId="3CDCA5DD">
            <wp:extent cx="5779511" cy="1883827"/>
            <wp:effectExtent l="0" t="0" r="0" b="0"/>
            <wp:docPr id="1637404003" name="Paveikslėlis 163740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779511" cy="1883827"/>
                    </a:xfrm>
                    <a:prstGeom prst="rect">
                      <a:avLst/>
                    </a:prstGeom>
                  </pic:spPr>
                </pic:pic>
              </a:graphicData>
            </a:graphic>
          </wp:inline>
        </w:drawing>
      </w:r>
    </w:p>
    <w:p w14:paraId="37AAB175" w14:textId="5EFFCA65" w:rsidR="00A86F14" w:rsidRPr="00E46817" w:rsidRDefault="00C00CC4" w:rsidP="092ADAC3">
      <w:pPr>
        <w:spacing w:line="240" w:lineRule="auto"/>
        <w:ind w:firstLine="709"/>
        <w:jc w:val="center"/>
        <w:rPr>
          <w:rFonts w:ascii="Times New Roman" w:hAnsi="Times New Roman" w:cs="Times New Roman"/>
          <w:i/>
          <w:iCs/>
          <w:sz w:val="24"/>
          <w:szCs w:val="24"/>
        </w:rPr>
      </w:pPr>
      <w:r w:rsidRPr="00E46817">
        <w:rPr>
          <w:rFonts w:ascii="Times New Roman" w:hAnsi="Times New Roman" w:cs="Times New Roman"/>
          <w:i/>
          <w:iCs/>
          <w:sz w:val="24"/>
          <w:szCs w:val="24"/>
        </w:rPr>
        <w:t xml:space="preserve">Duomenų šaltinis: </w:t>
      </w:r>
      <w:r w:rsidR="00D557F7" w:rsidRPr="00E46817">
        <w:rPr>
          <w:rFonts w:ascii="Times New Roman" w:hAnsi="Times New Roman" w:cs="Times New Roman"/>
          <w:i/>
          <w:iCs/>
          <w:sz w:val="24"/>
          <w:szCs w:val="24"/>
        </w:rPr>
        <w:t>V</w:t>
      </w:r>
      <w:r w:rsidR="004015EE" w:rsidRPr="00E46817">
        <w:rPr>
          <w:rFonts w:ascii="Times New Roman" w:hAnsi="Times New Roman" w:cs="Times New Roman"/>
          <w:i/>
          <w:iCs/>
          <w:sz w:val="24"/>
          <w:szCs w:val="24"/>
        </w:rPr>
        <w:t xml:space="preserve">idaus reikalų ministerijos </w:t>
      </w:r>
      <w:r w:rsidR="00D557F7" w:rsidRPr="00E46817">
        <w:rPr>
          <w:rFonts w:ascii="Times New Roman" w:hAnsi="Times New Roman" w:cs="Times New Roman"/>
          <w:i/>
          <w:iCs/>
          <w:sz w:val="24"/>
          <w:szCs w:val="24"/>
        </w:rPr>
        <w:t>atliktos VRM darbuotojų apklausos duomenys</w:t>
      </w:r>
    </w:p>
    <w:p w14:paraId="2A66992A" w14:textId="77777777" w:rsidR="00F9719B" w:rsidRPr="00E46817" w:rsidRDefault="00F9719B" w:rsidP="092ADAC3">
      <w:pPr>
        <w:spacing w:line="240" w:lineRule="auto"/>
        <w:ind w:firstLine="709"/>
        <w:rPr>
          <w:rFonts w:ascii="Times New Roman" w:hAnsi="Times New Roman" w:cs="Times New Roman"/>
          <w:b/>
          <w:bCs/>
          <w:i/>
          <w:iCs/>
          <w:sz w:val="24"/>
          <w:szCs w:val="24"/>
          <w:highlight w:val="yellow"/>
        </w:rPr>
      </w:pPr>
    </w:p>
    <w:p w14:paraId="3E83F805" w14:textId="1AE7A060" w:rsidR="00A56ED7" w:rsidRPr="002936DB" w:rsidRDefault="00AB0A4C" w:rsidP="007A5062">
      <w:pPr>
        <w:spacing w:line="276" w:lineRule="auto"/>
        <w:ind w:firstLine="709"/>
        <w:jc w:val="both"/>
        <w:rPr>
          <w:rFonts w:ascii="Times New Roman" w:hAnsi="Times New Roman" w:cs="Times New Roman"/>
          <w:sz w:val="24"/>
          <w:szCs w:val="24"/>
        </w:rPr>
      </w:pPr>
      <w:r w:rsidRPr="002936DB">
        <w:rPr>
          <w:rFonts w:ascii="Times New Roman" w:hAnsi="Times New Roman" w:cs="Times New Roman"/>
          <w:sz w:val="24"/>
          <w:szCs w:val="24"/>
        </w:rPr>
        <w:t>Kas dvejus metus atliekamas</w:t>
      </w:r>
      <w:r w:rsidR="458EA968" w:rsidRPr="002936DB">
        <w:rPr>
          <w:rFonts w:ascii="Times New Roman" w:hAnsi="Times New Roman" w:cs="Times New Roman"/>
          <w:sz w:val="24"/>
          <w:szCs w:val="24"/>
        </w:rPr>
        <w:t xml:space="preserve"> tyrimas, siekiant išsiaiškinti darbuotojų, teigiamai vertinančių darbo vietą ir aprūpinimą darbo priemonėmis, procentinį skaičių. </w:t>
      </w:r>
      <w:r w:rsidR="15A549CC" w:rsidRPr="002936DB">
        <w:rPr>
          <w:rFonts w:ascii="Times New Roman" w:hAnsi="Times New Roman" w:cs="Times New Roman"/>
          <w:sz w:val="24"/>
          <w:szCs w:val="24"/>
        </w:rPr>
        <w:t xml:space="preserve">Tyrimo metu </w:t>
      </w:r>
      <w:r w:rsidR="458EA968" w:rsidRPr="002936DB">
        <w:rPr>
          <w:rFonts w:ascii="Times New Roman" w:hAnsi="Times New Roman" w:cs="Times New Roman"/>
          <w:sz w:val="24"/>
          <w:szCs w:val="24"/>
        </w:rPr>
        <w:t>a</w:t>
      </w:r>
      <w:r w:rsidR="64FC957D" w:rsidRPr="002936DB">
        <w:rPr>
          <w:rFonts w:ascii="Times New Roman" w:hAnsi="Times New Roman" w:cs="Times New Roman"/>
          <w:sz w:val="24"/>
          <w:szCs w:val="24"/>
        </w:rPr>
        <w:t xml:space="preserve">pklausiami </w:t>
      </w:r>
      <w:r w:rsidR="15A549CC" w:rsidRPr="002936DB">
        <w:rPr>
          <w:rFonts w:ascii="Times New Roman" w:hAnsi="Times New Roman" w:cs="Times New Roman"/>
          <w:sz w:val="24"/>
          <w:szCs w:val="24"/>
        </w:rPr>
        <w:t>V</w:t>
      </w:r>
      <w:r w:rsidR="00CD053F" w:rsidRPr="002936DB">
        <w:rPr>
          <w:rFonts w:ascii="Times New Roman" w:hAnsi="Times New Roman" w:cs="Times New Roman"/>
          <w:sz w:val="24"/>
          <w:szCs w:val="24"/>
        </w:rPr>
        <w:t>idaus reikalų ministerijos</w:t>
      </w:r>
      <w:r w:rsidR="15A549CC" w:rsidRPr="002936DB">
        <w:rPr>
          <w:rFonts w:ascii="Times New Roman" w:hAnsi="Times New Roman" w:cs="Times New Roman"/>
          <w:sz w:val="24"/>
          <w:szCs w:val="24"/>
        </w:rPr>
        <w:t xml:space="preserve"> </w:t>
      </w:r>
      <w:r w:rsidR="00EC38DD" w:rsidRPr="002936DB">
        <w:rPr>
          <w:rFonts w:ascii="Times New Roman" w:hAnsi="Times New Roman" w:cs="Times New Roman"/>
          <w:sz w:val="24"/>
          <w:szCs w:val="24"/>
        </w:rPr>
        <w:t xml:space="preserve">ir </w:t>
      </w:r>
      <w:r w:rsidR="001E3316" w:rsidRPr="002936DB">
        <w:rPr>
          <w:rFonts w:ascii="Times New Roman" w:hAnsi="Times New Roman" w:cs="Times New Roman"/>
          <w:sz w:val="24"/>
          <w:szCs w:val="24"/>
        </w:rPr>
        <w:t xml:space="preserve">įstaigų, reziduojančių adresu Šventaragio g. 2, Vilniuje, </w:t>
      </w:r>
      <w:r w:rsidR="64FC957D" w:rsidRPr="002936DB">
        <w:rPr>
          <w:rFonts w:ascii="Times New Roman" w:hAnsi="Times New Roman" w:cs="Times New Roman"/>
          <w:sz w:val="24"/>
          <w:szCs w:val="24"/>
        </w:rPr>
        <w:t xml:space="preserve">darbuotojai </w:t>
      </w:r>
      <w:r w:rsidR="15A549CC" w:rsidRPr="002936DB">
        <w:rPr>
          <w:rFonts w:ascii="Times New Roman" w:hAnsi="Times New Roman" w:cs="Times New Roman"/>
          <w:sz w:val="24"/>
          <w:szCs w:val="24"/>
        </w:rPr>
        <w:t xml:space="preserve"> </w:t>
      </w:r>
      <w:r w:rsidR="00EC38DD" w:rsidRPr="002936DB">
        <w:rPr>
          <w:rFonts w:ascii="Times New Roman" w:hAnsi="Times New Roman" w:cs="Times New Roman"/>
          <w:sz w:val="24"/>
          <w:szCs w:val="24"/>
        </w:rPr>
        <w:t>(</w:t>
      </w:r>
      <w:r w:rsidR="00570BB3" w:rsidRPr="002936DB">
        <w:rPr>
          <w:rFonts w:ascii="Times New Roman" w:hAnsi="Times New Roman" w:cs="Times New Roman"/>
          <w:sz w:val="24"/>
          <w:szCs w:val="24"/>
        </w:rPr>
        <w:t>A</w:t>
      </w:r>
      <w:r w:rsidR="7155ADA5" w:rsidRPr="002936DB">
        <w:rPr>
          <w:rFonts w:ascii="Times New Roman" w:hAnsi="Times New Roman" w:cs="Times New Roman"/>
          <w:sz w:val="24"/>
          <w:szCs w:val="24"/>
        </w:rPr>
        <w:t>gentūros</w:t>
      </w:r>
      <w:r w:rsidR="15A549CC" w:rsidRPr="002936DB">
        <w:rPr>
          <w:rFonts w:ascii="Times New Roman" w:hAnsi="Times New Roman" w:cs="Times New Roman"/>
          <w:sz w:val="24"/>
          <w:szCs w:val="24"/>
        </w:rPr>
        <w:t xml:space="preserve">, </w:t>
      </w:r>
      <w:r w:rsidR="64FC957D" w:rsidRPr="002936DB">
        <w:rPr>
          <w:rFonts w:ascii="Times New Roman" w:hAnsi="Times New Roman" w:cs="Times New Roman"/>
          <w:sz w:val="24"/>
          <w:szCs w:val="24"/>
        </w:rPr>
        <w:t>Informatikos ir ryšių departamento prie Lietuvos Respublikos vidaus reikalų ministerijos</w:t>
      </w:r>
      <w:r w:rsidR="00570BB3" w:rsidRPr="002936DB">
        <w:rPr>
          <w:rFonts w:ascii="Times New Roman" w:hAnsi="Times New Roman" w:cs="Times New Roman"/>
          <w:sz w:val="24"/>
          <w:szCs w:val="24"/>
        </w:rPr>
        <w:t xml:space="preserve"> (toliau </w:t>
      </w:r>
      <w:r w:rsidR="00CD053F" w:rsidRPr="002936DB">
        <w:rPr>
          <w:rFonts w:ascii="Times New Roman" w:hAnsi="Times New Roman" w:cs="Times New Roman"/>
          <w:sz w:val="24"/>
          <w:szCs w:val="24"/>
        </w:rPr>
        <w:t xml:space="preserve">– </w:t>
      </w:r>
      <w:r w:rsidR="00570BB3" w:rsidRPr="002936DB">
        <w:rPr>
          <w:rFonts w:ascii="Times New Roman" w:hAnsi="Times New Roman" w:cs="Times New Roman"/>
          <w:sz w:val="24"/>
          <w:szCs w:val="24"/>
        </w:rPr>
        <w:t>IRD)</w:t>
      </w:r>
      <w:r w:rsidR="64FC957D" w:rsidRPr="002936DB">
        <w:rPr>
          <w:rFonts w:ascii="Times New Roman" w:hAnsi="Times New Roman" w:cs="Times New Roman"/>
          <w:sz w:val="24"/>
          <w:szCs w:val="24"/>
        </w:rPr>
        <w:t>,</w:t>
      </w:r>
      <w:r w:rsidR="15A549CC" w:rsidRPr="002936DB">
        <w:rPr>
          <w:rFonts w:ascii="Times New Roman" w:hAnsi="Times New Roman" w:cs="Times New Roman"/>
          <w:sz w:val="24"/>
          <w:szCs w:val="24"/>
        </w:rPr>
        <w:t xml:space="preserve"> Viešojo valdymo agentūr</w:t>
      </w:r>
      <w:r w:rsidR="2733DEEA" w:rsidRPr="002936DB">
        <w:rPr>
          <w:rFonts w:ascii="Times New Roman" w:hAnsi="Times New Roman" w:cs="Times New Roman"/>
          <w:sz w:val="24"/>
          <w:szCs w:val="24"/>
        </w:rPr>
        <w:t>os</w:t>
      </w:r>
      <w:r w:rsidR="15A549CC" w:rsidRPr="002936DB">
        <w:rPr>
          <w:rFonts w:ascii="Times New Roman" w:hAnsi="Times New Roman" w:cs="Times New Roman"/>
          <w:sz w:val="24"/>
          <w:szCs w:val="24"/>
        </w:rPr>
        <w:t>)</w:t>
      </w:r>
      <w:r w:rsidR="4D112674" w:rsidRPr="002936DB">
        <w:rPr>
          <w:rFonts w:ascii="Times New Roman" w:hAnsi="Times New Roman" w:cs="Times New Roman"/>
          <w:sz w:val="24"/>
          <w:szCs w:val="24"/>
        </w:rPr>
        <w:t>.</w:t>
      </w:r>
      <w:r w:rsidR="007A363C" w:rsidRPr="002936DB">
        <w:rPr>
          <w:rFonts w:ascii="Times New Roman" w:hAnsi="Times New Roman" w:cs="Times New Roman"/>
          <w:sz w:val="24"/>
          <w:szCs w:val="24"/>
        </w:rPr>
        <w:t xml:space="preserve"> </w:t>
      </w:r>
    </w:p>
    <w:p w14:paraId="43777D56" w14:textId="4F745F13" w:rsidR="002936DB" w:rsidRPr="002936DB" w:rsidRDefault="03DBC01C" w:rsidP="002936DB">
      <w:pPr>
        <w:ind w:firstLine="709"/>
        <w:rPr>
          <w:rFonts w:ascii="Times New Roman" w:hAnsi="Times New Roman" w:cs="Times New Roman"/>
          <w:sz w:val="24"/>
          <w:szCs w:val="24"/>
        </w:rPr>
      </w:pPr>
      <w:r w:rsidRPr="002936DB">
        <w:rPr>
          <w:rFonts w:ascii="Times New Roman" w:eastAsia="Times New Roman" w:hAnsi="Times New Roman" w:cs="Times New Roman"/>
          <w:sz w:val="24"/>
          <w:szCs w:val="24"/>
        </w:rPr>
        <w:t>202</w:t>
      </w:r>
      <w:r w:rsidR="766CDC8F" w:rsidRPr="002936DB">
        <w:rPr>
          <w:rFonts w:ascii="Times New Roman" w:eastAsia="Times New Roman" w:hAnsi="Times New Roman" w:cs="Times New Roman"/>
          <w:sz w:val="24"/>
          <w:szCs w:val="24"/>
        </w:rPr>
        <w:t>5</w:t>
      </w:r>
      <w:r w:rsidRPr="002936DB">
        <w:rPr>
          <w:rFonts w:ascii="Times New Roman" w:eastAsia="Times New Roman" w:hAnsi="Times New Roman" w:cs="Times New Roman"/>
          <w:sz w:val="24"/>
          <w:szCs w:val="24"/>
        </w:rPr>
        <w:t xml:space="preserve"> metais </w:t>
      </w:r>
      <w:r w:rsidR="001E3316" w:rsidRPr="002936DB">
        <w:rPr>
          <w:rFonts w:ascii="Times New Roman" w:eastAsia="Times New Roman" w:hAnsi="Times New Roman" w:cs="Times New Roman"/>
          <w:sz w:val="24"/>
          <w:szCs w:val="24"/>
        </w:rPr>
        <w:t>tyrimas</w:t>
      </w:r>
      <w:r w:rsidRPr="002936DB">
        <w:rPr>
          <w:rFonts w:ascii="Times New Roman" w:eastAsia="Times New Roman" w:hAnsi="Times New Roman" w:cs="Times New Roman"/>
          <w:sz w:val="24"/>
          <w:szCs w:val="24"/>
        </w:rPr>
        <w:t xml:space="preserve"> nebuvo vykdoma</w:t>
      </w:r>
      <w:r w:rsidR="001E3316" w:rsidRPr="002936DB">
        <w:rPr>
          <w:rFonts w:ascii="Times New Roman" w:eastAsia="Times New Roman" w:hAnsi="Times New Roman" w:cs="Times New Roman"/>
          <w:sz w:val="24"/>
          <w:szCs w:val="24"/>
        </w:rPr>
        <w:t>s</w:t>
      </w:r>
      <w:r w:rsidR="002936DB" w:rsidRPr="002936DB">
        <w:rPr>
          <w:rFonts w:ascii="Times New Roman" w:eastAsia="Times New Roman" w:hAnsi="Times New Roman" w:cs="Times New Roman"/>
          <w:sz w:val="24"/>
          <w:szCs w:val="24"/>
        </w:rPr>
        <w:t>, nes</w:t>
      </w:r>
      <w:r w:rsidR="002936DB" w:rsidRPr="002936DB">
        <w:rPr>
          <w:rFonts w:ascii="Times New Roman" w:hAnsi="Times New Roman" w:cs="Times New Roman"/>
          <w:sz w:val="24"/>
          <w:szCs w:val="24"/>
        </w:rPr>
        <w:t xml:space="preserve"> rodiklis matuojamas 1 kartą per 2 metus.</w:t>
      </w:r>
    </w:p>
    <w:p w14:paraId="3876AC4D" w14:textId="77777777" w:rsidR="00721459" w:rsidRPr="003F008C" w:rsidRDefault="00721459" w:rsidP="002936DB">
      <w:pPr>
        <w:spacing w:line="276" w:lineRule="auto"/>
        <w:jc w:val="both"/>
        <w:rPr>
          <w:rFonts w:ascii="Times New Roman" w:hAnsi="Times New Roman" w:cs="Times New Roman"/>
          <w:b/>
          <w:bCs/>
          <w:i/>
          <w:iCs/>
          <w:color w:val="A6A6A6" w:themeColor="background1" w:themeShade="A6"/>
          <w:sz w:val="24"/>
          <w:szCs w:val="24"/>
          <w:highlight w:val="yellow"/>
        </w:rPr>
      </w:pPr>
    </w:p>
    <w:p w14:paraId="3BBCD852" w14:textId="77777777" w:rsidR="00721459" w:rsidRPr="003F008C" w:rsidRDefault="00721459" w:rsidP="007A5062">
      <w:pPr>
        <w:spacing w:line="276" w:lineRule="auto"/>
        <w:ind w:firstLine="709"/>
        <w:jc w:val="center"/>
        <w:rPr>
          <w:rFonts w:ascii="Times New Roman" w:hAnsi="Times New Roman" w:cs="Times New Roman"/>
          <w:b/>
          <w:bCs/>
          <w:sz w:val="24"/>
          <w:szCs w:val="24"/>
        </w:rPr>
      </w:pPr>
      <w:r w:rsidRPr="003F008C">
        <w:rPr>
          <w:rFonts w:ascii="Times New Roman" w:hAnsi="Times New Roman" w:cs="Times New Roman"/>
          <w:b/>
          <w:bCs/>
          <w:sz w:val="24"/>
          <w:szCs w:val="24"/>
          <w:highlight w:val="lightGray"/>
        </w:rPr>
        <w:t>Valstybės nekilnojamojo turto administravimas ir ūkio priežiūra</w:t>
      </w:r>
    </w:p>
    <w:p w14:paraId="56C38D2A" w14:textId="77777777" w:rsidR="00721459" w:rsidRPr="003F008C" w:rsidRDefault="00721459" w:rsidP="007A5062">
      <w:pPr>
        <w:spacing w:line="276" w:lineRule="auto"/>
        <w:ind w:firstLine="709"/>
        <w:jc w:val="both"/>
        <w:rPr>
          <w:rFonts w:ascii="Times New Roman" w:hAnsi="Times New Roman" w:cs="Times New Roman"/>
          <w:b/>
          <w:bCs/>
          <w:i/>
          <w:iCs/>
          <w:color w:val="A6A6A6" w:themeColor="background1" w:themeShade="A6"/>
          <w:sz w:val="24"/>
          <w:szCs w:val="24"/>
          <w:highlight w:val="yellow"/>
        </w:rPr>
      </w:pPr>
    </w:p>
    <w:p w14:paraId="270B7A1F" w14:textId="598788F1" w:rsidR="00721459" w:rsidRPr="00EF5695" w:rsidRDefault="56825CE2" w:rsidP="007A5062">
      <w:pPr>
        <w:spacing w:line="276" w:lineRule="auto"/>
        <w:ind w:firstLine="709"/>
        <w:jc w:val="both"/>
        <w:rPr>
          <w:rFonts w:ascii="Times New Roman" w:hAnsi="Times New Roman" w:cs="Times New Roman"/>
          <w:sz w:val="24"/>
          <w:szCs w:val="24"/>
        </w:rPr>
      </w:pPr>
      <w:r w:rsidRPr="070233B9">
        <w:rPr>
          <w:rFonts w:ascii="Times New Roman" w:hAnsi="Times New Roman" w:cs="Times New Roman"/>
          <w:sz w:val="24"/>
          <w:szCs w:val="24"/>
        </w:rPr>
        <w:t>A</w:t>
      </w:r>
      <w:r w:rsidR="2B7F92A9" w:rsidRPr="070233B9">
        <w:rPr>
          <w:rFonts w:ascii="Times New Roman" w:hAnsi="Times New Roman" w:cs="Times New Roman"/>
          <w:sz w:val="24"/>
          <w:szCs w:val="24"/>
        </w:rPr>
        <w:t>gentūra</w:t>
      </w:r>
      <w:r w:rsidR="6D719555" w:rsidRPr="070233B9">
        <w:rPr>
          <w:rFonts w:ascii="Times New Roman" w:hAnsi="Times New Roman" w:cs="Times New Roman"/>
          <w:sz w:val="24"/>
          <w:szCs w:val="24"/>
        </w:rPr>
        <w:t xml:space="preserve"> nuosekliai tęsia veiklą vidaus reikalų sistemos įstaigų, finansuojamų iš </w:t>
      </w:r>
      <w:r w:rsidR="1B8AD029" w:rsidRPr="070233B9">
        <w:rPr>
          <w:rFonts w:ascii="Times New Roman" w:hAnsi="Times New Roman" w:cs="Times New Roman"/>
          <w:sz w:val="24"/>
          <w:szCs w:val="24"/>
        </w:rPr>
        <w:t>V</w:t>
      </w:r>
      <w:r w:rsidR="6D719555" w:rsidRPr="070233B9">
        <w:rPr>
          <w:rFonts w:ascii="Times New Roman" w:hAnsi="Times New Roman" w:cs="Times New Roman"/>
          <w:sz w:val="24"/>
          <w:szCs w:val="24"/>
        </w:rPr>
        <w:t>idaus reikalų ministerij</w:t>
      </w:r>
      <w:r w:rsidR="053468C8" w:rsidRPr="070233B9">
        <w:rPr>
          <w:rFonts w:ascii="Times New Roman" w:hAnsi="Times New Roman" w:cs="Times New Roman"/>
          <w:sz w:val="24"/>
          <w:szCs w:val="24"/>
        </w:rPr>
        <w:t>ai</w:t>
      </w:r>
      <w:r w:rsidR="6D719555" w:rsidRPr="070233B9">
        <w:rPr>
          <w:rFonts w:ascii="Times New Roman" w:hAnsi="Times New Roman" w:cs="Times New Roman"/>
          <w:sz w:val="24"/>
          <w:szCs w:val="24"/>
        </w:rPr>
        <w:t xml:space="preserve"> skirtų valstybės biudžeto asignavimų, valstybės nekilnojamojo turto centralizuoto valdymo srityje. Užtikrinant racionalų ir efektyvų valstybės nekilnojamojo turto valdymą, </w:t>
      </w:r>
      <w:r w:rsidRPr="070233B9">
        <w:rPr>
          <w:rFonts w:ascii="Times New Roman" w:hAnsi="Times New Roman" w:cs="Times New Roman"/>
          <w:sz w:val="24"/>
          <w:szCs w:val="24"/>
        </w:rPr>
        <w:t>A</w:t>
      </w:r>
      <w:r w:rsidR="4DE46B3C" w:rsidRPr="070233B9">
        <w:rPr>
          <w:rFonts w:ascii="Times New Roman" w:hAnsi="Times New Roman" w:cs="Times New Roman"/>
          <w:sz w:val="24"/>
          <w:szCs w:val="24"/>
        </w:rPr>
        <w:t>gentūra</w:t>
      </w:r>
      <w:r w:rsidR="6D719555" w:rsidRPr="070233B9">
        <w:rPr>
          <w:rFonts w:ascii="Times New Roman" w:hAnsi="Times New Roman" w:cs="Times New Roman"/>
          <w:sz w:val="24"/>
          <w:szCs w:val="24"/>
        </w:rPr>
        <w:t xml:space="preserve"> pagal veiklos pobūdį perima valdyti patikėjimo teise įstaigų prie Vidaus reikalų ministerijos, finansuojamų iš Vidaus reikalų ministerijai skirtų valstybės biudžeto asignavimų (toliau – įstaigos prie Vidaus reikalų ministerijos), patikėjimo teise valdomą, naudojamą ir disponuojamą valstybės nekilnojamąjį turtą, o šių įstaigų veiklai vykdyti reikiamus pastatus ir patalpas suteikia panaudos pagrindais, sprendžia klausimus dėl įstaigų veiklai nereikalingo nekilnojamojo turto tolesnio tikslingo panaudojimo</w:t>
      </w:r>
      <w:r w:rsidR="53BB0155" w:rsidRPr="070233B9">
        <w:rPr>
          <w:rFonts w:ascii="Times New Roman" w:hAnsi="Times New Roman" w:cs="Times New Roman"/>
          <w:sz w:val="24"/>
          <w:szCs w:val="24"/>
        </w:rPr>
        <w:t xml:space="preserve">, rengia, pristato, siūlo klausimus </w:t>
      </w:r>
      <w:r w:rsidR="468EE4B6" w:rsidRPr="070233B9">
        <w:rPr>
          <w:rFonts w:ascii="Times New Roman" w:hAnsi="Times New Roman" w:cs="Times New Roman"/>
          <w:sz w:val="24"/>
          <w:szCs w:val="24"/>
        </w:rPr>
        <w:t>V</w:t>
      </w:r>
      <w:r w:rsidR="00360EDE">
        <w:rPr>
          <w:rFonts w:ascii="Times New Roman" w:hAnsi="Times New Roman" w:cs="Times New Roman"/>
          <w:sz w:val="24"/>
          <w:szCs w:val="24"/>
        </w:rPr>
        <w:t>idaus reikalų ministerijos</w:t>
      </w:r>
      <w:r w:rsidR="468EE4B6" w:rsidRPr="070233B9">
        <w:rPr>
          <w:rFonts w:ascii="Times New Roman" w:hAnsi="Times New Roman" w:cs="Times New Roman"/>
          <w:sz w:val="24"/>
          <w:szCs w:val="24"/>
        </w:rPr>
        <w:t xml:space="preserve"> Turto valdymo komisijai.</w:t>
      </w:r>
    </w:p>
    <w:p w14:paraId="7E58C662" w14:textId="3A39040F" w:rsidR="00721459" w:rsidRPr="00EF5695" w:rsidRDefault="07D5FC46" w:rsidP="00A7068D">
      <w:pPr>
        <w:spacing w:line="276" w:lineRule="auto"/>
        <w:ind w:right="140" w:firstLine="709"/>
        <w:jc w:val="both"/>
        <w:rPr>
          <w:rFonts w:ascii="Times New Roman" w:hAnsi="Times New Roman" w:cs="Times New Roman"/>
          <w:sz w:val="24"/>
          <w:szCs w:val="24"/>
        </w:rPr>
      </w:pPr>
      <w:r w:rsidRPr="070233B9">
        <w:rPr>
          <w:rFonts w:ascii="Times New Roman" w:hAnsi="Times New Roman" w:cs="Times New Roman"/>
          <w:sz w:val="24"/>
          <w:szCs w:val="24"/>
        </w:rPr>
        <w:t xml:space="preserve">Vienas iš pagrindinių </w:t>
      </w:r>
      <w:r w:rsidR="1002D9A5" w:rsidRPr="070233B9">
        <w:rPr>
          <w:rFonts w:ascii="Times New Roman" w:hAnsi="Times New Roman" w:cs="Times New Roman"/>
          <w:sz w:val="24"/>
          <w:szCs w:val="24"/>
        </w:rPr>
        <w:t>Agentūros</w:t>
      </w:r>
      <w:r w:rsidRPr="070233B9">
        <w:rPr>
          <w:rFonts w:ascii="Times New Roman" w:hAnsi="Times New Roman" w:cs="Times New Roman"/>
          <w:sz w:val="24"/>
          <w:szCs w:val="24"/>
        </w:rPr>
        <w:t xml:space="preserve"> uždavinių – Vidaus reikalų ministeriją ir įstaigas prie Vidaus reikalų ministerijos, finansuojamas iš Vidaus reikalų ministerijai skirtų valstybės biudžeto asignavimų</w:t>
      </w:r>
      <w:r w:rsidR="28D26F17" w:rsidRPr="070233B9">
        <w:rPr>
          <w:rFonts w:ascii="Times New Roman" w:hAnsi="Times New Roman" w:cs="Times New Roman"/>
          <w:sz w:val="24"/>
          <w:szCs w:val="24"/>
        </w:rPr>
        <w:t>,</w:t>
      </w:r>
      <w:r w:rsidRPr="070233B9">
        <w:rPr>
          <w:rFonts w:ascii="Times New Roman" w:hAnsi="Times New Roman" w:cs="Times New Roman"/>
          <w:sz w:val="24"/>
          <w:szCs w:val="24"/>
        </w:rPr>
        <w:t xml:space="preserve"> aprūpinti nekilnojamuoju turtu (pastatais, patalpomis)</w:t>
      </w:r>
      <w:r w:rsidR="47F29304" w:rsidRPr="070233B9">
        <w:rPr>
          <w:rFonts w:ascii="Times New Roman" w:hAnsi="Times New Roman" w:cs="Times New Roman"/>
          <w:sz w:val="24"/>
          <w:szCs w:val="24"/>
        </w:rPr>
        <w:t xml:space="preserve"> Šventaragio g. 2, Vilniuje</w:t>
      </w:r>
      <w:r w:rsidRPr="070233B9">
        <w:rPr>
          <w:rFonts w:ascii="Times New Roman" w:hAnsi="Times New Roman" w:cs="Times New Roman"/>
          <w:sz w:val="24"/>
          <w:szCs w:val="24"/>
        </w:rPr>
        <w:t>, reikalingu šių įstaigų veiklai vykdyti, centralizuotai jį administruoti, pagal kompetenciją vykdyti jo ūkinę</w:t>
      </w:r>
      <w:r w:rsidR="33339AD9" w:rsidRPr="070233B9">
        <w:rPr>
          <w:rFonts w:ascii="Times New Roman" w:hAnsi="Times New Roman" w:cs="Times New Roman"/>
          <w:sz w:val="24"/>
          <w:szCs w:val="24"/>
        </w:rPr>
        <w:t>-</w:t>
      </w:r>
      <w:r w:rsidRPr="070233B9">
        <w:rPr>
          <w:rFonts w:ascii="Times New Roman" w:hAnsi="Times New Roman" w:cs="Times New Roman"/>
          <w:sz w:val="24"/>
          <w:szCs w:val="24"/>
        </w:rPr>
        <w:t>techninę priežiūrą bei fizinę ir elektroninę apsaugą.</w:t>
      </w:r>
    </w:p>
    <w:p w14:paraId="73E4C110" w14:textId="2A7EEA1E" w:rsidR="3CA61D7F" w:rsidRPr="00EB48B8" w:rsidRDefault="56825CE2">
      <w:pPr>
        <w:spacing w:line="276" w:lineRule="auto"/>
        <w:ind w:firstLine="709"/>
        <w:jc w:val="both"/>
        <w:rPr>
          <w:rFonts w:ascii="Times New Roman" w:hAnsi="Times New Roman" w:cs="Times New Roman"/>
          <w:sz w:val="24"/>
          <w:szCs w:val="24"/>
        </w:rPr>
      </w:pPr>
      <w:r w:rsidRPr="070233B9">
        <w:rPr>
          <w:rFonts w:ascii="Times New Roman" w:hAnsi="Times New Roman" w:cs="Times New Roman"/>
          <w:sz w:val="24"/>
          <w:szCs w:val="24"/>
        </w:rPr>
        <w:t>Agentūra</w:t>
      </w:r>
      <w:r w:rsidR="1F05864E" w:rsidRPr="070233B9">
        <w:rPr>
          <w:rFonts w:ascii="Times New Roman" w:hAnsi="Times New Roman" w:cs="Times New Roman"/>
          <w:sz w:val="24"/>
          <w:szCs w:val="24"/>
        </w:rPr>
        <w:t xml:space="preserve">, centralizuotai aprūpindama Vidaus reikalų ministeriją ir įstaigas prie Vidaus reikalų ministerijos nekilnojamuoju turtu (pastatais, patalpomis), reikalingu šių įstaigų veiklai vykdyti, valstybės nekilnojamojo turto panaudos sutartyse nustatyta apimtimi centralizuotai jį administruoja </w:t>
      </w:r>
      <w:r w:rsidR="1F05864E" w:rsidRPr="00EB48B8">
        <w:rPr>
          <w:rFonts w:ascii="Times New Roman" w:hAnsi="Times New Roman" w:cs="Times New Roman"/>
          <w:sz w:val="24"/>
          <w:szCs w:val="24"/>
        </w:rPr>
        <w:lastRenderedPageBreak/>
        <w:t>bei vykdo</w:t>
      </w:r>
      <w:r w:rsidR="000C1922" w:rsidRPr="00EB48B8">
        <w:rPr>
          <w:rFonts w:ascii="Times New Roman" w:hAnsi="Times New Roman" w:cs="Times New Roman"/>
          <w:sz w:val="24"/>
          <w:szCs w:val="24"/>
        </w:rPr>
        <w:t xml:space="preserve"> </w:t>
      </w:r>
      <w:r w:rsidR="36B52F0B" w:rsidRPr="00EB48B8">
        <w:rPr>
          <w:rFonts w:ascii="Times New Roman" w:hAnsi="Times New Roman" w:cs="Times New Roman"/>
          <w:sz w:val="24"/>
          <w:szCs w:val="24"/>
        </w:rPr>
        <w:t>pastatų</w:t>
      </w:r>
      <w:r w:rsidR="000C1922" w:rsidRPr="00EB48B8">
        <w:rPr>
          <w:rFonts w:ascii="Times New Roman" w:hAnsi="Times New Roman" w:cs="Times New Roman"/>
          <w:sz w:val="24"/>
          <w:szCs w:val="24"/>
        </w:rPr>
        <w:t xml:space="preserve"> </w:t>
      </w:r>
      <w:r w:rsidR="1F05864E" w:rsidRPr="00EB48B8">
        <w:rPr>
          <w:rFonts w:ascii="Times New Roman" w:hAnsi="Times New Roman" w:cs="Times New Roman"/>
          <w:sz w:val="24"/>
          <w:szCs w:val="24"/>
        </w:rPr>
        <w:t>techninę priežiūr</w:t>
      </w:r>
      <w:r w:rsidR="0F765F39" w:rsidRPr="00EB48B8">
        <w:rPr>
          <w:rFonts w:ascii="Times New Roman" w:hAnsi="Times New Roman" w:cs="Times New Roman"/>
          <w:sz w:val="24"/>
          <w:szCs w:val="24"/>
        </w:rPr>
        <w:t>ą</w:t>
      </w:r>
      <w:r w:rsidR="35B4CB41" w:rsidRPr="00EB48B8">
        <w:rPr>
          <w:rFonts w:ascii="Times New Roman" w:hAnsi="Times New Roman" w:cs="Times New Roman"/>
          <w:sz w:val="24"/>
          <w:szCs w:val="24"/>
        </w:rPr>
        <w:t xml:space="preserve"> </w:t>
      </w:r>
      <w:r w:rsidR="5BC2336C" w:rsidRPr="00EB48B8">
        <w:rPr>
          <w:rFonts w:ascii="Times New Roman" w:hAnsi="Times New Roman" w:cs="Times New Roman"/>
          <w:sz w:val="24"/>
          <w:szCs w:val="24"/>
        </w:rPr>
        <w:t>ir</w:t>
      </w:r>
      <w:r w:rsidR="35B4CB41" w:rsidRPr="00EB48B8">
        <w:rPr>
          <w:rFonts w:ascii="Times New Roman" w:hAnsi="Times New Roman" w:cs="Times New Roman"/>
          <w:sz w:val="24"/>
          <w:szCs w:val="24"/>
        </w:rPr>
        <w:t xml:space="preserve"> jos kontrolę </w:t>
      </w:r>
      <w:r w:rsidR="26561D54" w:rsidRPr="00EB48B8">
        <w:rPr>
          <w:rFonts w:ascii="Times New Roman" w:hAnsi="Times New Roman" w:cs="Times New Roman"/>
          <w:sz w:val="24"/>
          <w:szCs w:val="24"/>
        </w:rPr>
        <w:t xml:space="preserve">, </w:t>
      </w:r>
      <w:r w:rsidR="45EF8B0A" w:rsidRPr="00EB48B8">
        <w:rPr>
          <w:rFonts w:ascii="Times New Roman" w:hAnsi="Times New Roman" w:cs="Times New Roman"/>
          <w:sz w:val="24"/>
          <w:szCs w:val="24"/>
        </w:rPr>
        <w:t>kaip kompetencijų centras teikia VRM sistemos įstaigoms konsultacijas nekilnojamojo turto valdymo, naudojimo</w:t>
      </w:r>
      <w:r w:rsidR="70A02821" w:rsidRPr="00EB48B8">
        <w:rPr>
          <w:rFonts w:ascii="Times New Roman" w:hAnsi="Times New Roman" w:cs="Times New Roman"/>
          <w:sz w:val="24"/>
          <w:szCs w:val="24"/>
        </w:rPr>
        <w:t xml:space="preserve"> bei teisiniais klausimais.</w:t>
      </w:r>
    </w:p>
    <w:p w14:paraId="19494049" w14:textId="5E106795" w:rsidR="4DC66257" w:rsidRPr="00EB48B8" w:rsidRDefault="47461DAC" w:rsidP="007A5062">
      <w:pPr>
        <w:spacing w:line="276" w:lineRule="auto"/>
        <w:ind w:firstLine="709"/>
        <w:jc w:val="both"/>
        <w:rPr>
          <w:rFonts w:ascii="Times New Roman" w:eastAsia="Times New Roman" w:hAnsi="Times New Roman" w:cs="Times New Roman"/>
          <w:sz w:val="24"/>
          <w:szCs w:val="24"/>
        </w:rPr>
      </w:pPr>
      <w:r w:rsidRPr="00EB48B8">
        <w:rPr>
          <w:rFonts w:ascii="Times New Roman" w:eastAsia="Times New Roman" w:hAnsi="Times New Roman" w:cs="Times New Roman"/>
          <w:sz w:val="24"/>
          <w:szCs w:val="24"/>
        </w:rPr>
        <w:t>Kontroliuojamas racionalus nekilnojamojo turto naudojimas – per ataskaitinius metus pasiūlyt</w:t>
      </w:r>
      <w:r w:rsidR="1F6AF2DD" w:rsidRPr="00EB48B8">
        <w:rPr>
          <w:rFonts w:ascii="Times New Roman" w:eastAsia="Times New Roman" w:hAnsi="Times New Roman" w:cs="Times New Roman"/>
          <w:sz w:val="24"/>
          <w:szCs w:val="24"/>
        </w:rPr>
        <w:t>i</w:t>
      </w:r>
      <w:r w:rsidRPr="00EB48B8">
        <w:rPr>
          <w:rFonts w:ascii="Times New Roman" w:eastAsia="Times New Roman" w:hAnsi="Times New Roman" w:cs="Times New Roman"/>
          <w:sz w:val="24"/>
          <w:szCs w:val="24"/>
        </w:rPr>
        <w:t xml:space="preserve"> valstybės įmonei Turto bankui (toliau – Turto bankas), kaip </w:t>
      </w:r>
      <w:r w:rsidR="13C2FE4A" w:rsidRPr="00EB48B8">
        <w:rPr>
          <w:rFonts w:ascii="Times New Roman" w:eastAsia="Times New Roman" w:hAnsi="Times New Roman" w:cs="Times New Roman"/>
          <w:sz w:val="24"/>
          <w:szCs w:val="24"/>
        </w:rPr>
        <w:t>Agentūrai</w:t>
      </w:r>
      <w:r w:rsidRPr="00EB48B8">
        <w:rPr>
          <w:rFonts w:ascii="Times New Roman" w:eastAsia="Times New Roman" w:hAnsi="Times New Roman" w:cs="Times New Roman"/>
          <w:sz w:val="24"/>
          <w:szCs w:val="24"/>
        </w:rPr>
        <w:t xml:space="preserve"> nereikalingi valstybės deleguotoms funkcijoms atlikti</w:t>
      </w:r>
      <w:r w:rsidR="3C74197D" w:rsidRPr="00EB48B8">
        <w:rPr>
          <w:rFonts w:ascii="Times New Roman" w:eastAsia="Times New Roman" w:hAnsi="Times New Roman" w:cs="Times New Roman"/>
          <w:sz w:val="24"/>
          <w:szCs w:val="24"/>
        </w:rPr>
        <w:t>,</w:t>
      </w:r>
      <w:r w:rsidRPr="00EB48B8">
        <w:rPr>
          <w:rFonts w:ascii="Times New Roman" w:eastAsia="Times New Roman" w:hAnsi="Times New Roman" w:cs="Times New Roman"/>
          <w:sz w:val="24"/>
          <w:szCs w:val="24"/>
        </w:rPr>
        <w:t xml:space="preserve"> </w:t>
      </w:r>
      <w:r w:rsidR="0020587A" w:rsidRPr="00EB48B8">
        <w:rPr>
          <w:rFonts w:ascii="Times New Roman" w:eastAsia="Times New Roman" w:hAnsi="Times New Roman" w:cs="Times New Roman"/>
          <w:sz w:val="24"/>
          <w:szCs w:val="24"/>
        </w:rPr>
        <w:t>šeši</w:t>
      </w:r>
      <w:r w:rsidRPr="00EB48B8">
        <w:rPr>
          <w:rFonts w:ascii="Times New Roman" w:eastAsia="Times New Roman" w:hAnsi="Times New Roman" w:cs="Times New Roman"/>
          <w:sz w:val="24"/>
          <w:szCs w:val="24"/>
        </w:rPr>
        <w:t xml:space="preserve"> nekilnojamojo turto</w:t>
      </w:r>
      <w:r w:rsidR="0020587A" w:rsidRPr="00EB48B8">
        <w:rPr>
          <w:rFonts w:ascii="Times New Roman" w:eastAsia="Times New Roman" w:hAnsi="Times New Roman" w:cs="Times New Roman"/>
          <w:sz w:val="24"/>
          <w:szCs w:val="24"/>
        </w:rPr>
        <w:t xml:space="preserve"> </w:t>
      </w:r>
      <w:r w:rsidRPr="00EB48B8">
        <w:rPr>
          <w:rFonts w:ascii="Times New Roman" w:eastAsia="Times New Roman" w:hAnsi="Times New Roman" w:cs="Times New Roman"/>
          <w:sz w:val="24"/>
          <w:szCs w:val="24"/>
        </w:rPr>
        <w:t xml:space="preserve">objektai. </w:t>
      </w:r>
      <w:r w:rsidR="0079719D" w:rsidRPr="00EB48B8">
        <w:rPr>
          <w:rFonts w:ascii="Times New Roman" w:eastAsia="Times New Roman" w:hAnsi="Times New Roman" w:cs="Times New Roman"/>
          <w:sz w:val="24"/>
          <w:szCs w:val="24"/>
        </w:rPr>
        <w:t>3</w:t>
      </w:r>
      <w:r w:rsidRPr="00EB48B8">
        <w:rPr>
          <w:rFonts w:ascii="Times New Roman" w:eastAsia="Times New Roman" w:hAnsi="Times New Roman" w:cs="Times New Roman"/>
          <w:sz w:val="24"/>
          <w:szCs w:val="24"/>
        </w:rPr>
        <w:t xml:space="preserve"> nekilnojamojo turto objektai perduoti Turto bankui</w:t>
      </w:r>
      <w:r w:rsidR="07B0C84C" w:rsidRPr="00EB48B8">
        <w:rPr>
          <w:rFonts w:ascii="Times New Roman" w:eastAsia="Times New Roman" w:hAnsi="Times New Roman" w:cs="Times New Roman"/>
          <w:sz w:val="24"/>
          <w:szCs w:val="24"/>
        </w:rPr>
        <w:t>,</w:t>
      </w:r>
      <w:r w:rsidR="0B21C64A" w:rsidRPr="00EB48B8">
        <w:rPr>
          <w:rFonts w:ascii="Times New Roman" w:eastAsia="Times New Roman" w:hAnsi="Times New Roman" w:cs="Times New Roman"/>
          <w:sz w:val="24"/>
          <w:szCs w:val="24"/>
        </w:rPr>
        <w:t xml:space="preserve"> </w:t>
      </w:r>
      <w:r w:rsidR="0079719D" w:rsidRPr="00EB48B8">
        <w:rPr>
          <w:rFonts w:ascii="Times New Roman" w:eastAsia="Times New Roman" w:hAnsi="Times New Roman" w:cs="Times New Roman"/>
          <w:sz w:val="24"/>
          <w:szCs w:val="24"/>
        </w:rPr>
        <w:t>2</w:t>
      </w:r>
      <w:r w:rsidR="0B21C64A" w:rsidRPr="00EB48B8">
        <w:rPr>
          <w:rFonts w:ascii="Times New Roman" w:eastAsia="Times New Roman" w:hAnsi="Times New Roman" w:cs="Times New Roman"/>
          <w:sz w:val="24"/>
          <w:szCs w:val="24"/>
        </w:rPr>
        <w:t xml:space="preserve"> </w:t>
      </w:r>
      <w:r w:rsidR="0020587A" w:rsidRPr="00EB48B8">
        <w:rPr>
          <w:rFonts w:ascii="Times New Roman" w:eastAsia="Times New Roman" w:hAnsi="Times New Roman" w:cs="Times New Roman"/>
          <w:sz w:val="24"/>
          <w:szCs w:val="24"/>
        </w:rPr>
        <w:t>–</w:t>
      </w:r>
      <w:r w:rsidR="0B21C64A" w:rsidRPr="00EB48B8">
        <w:rPr>
          <w:rFonts w:ascii="Times New Roman" w:eastAsia="Times New Roman" w:hAnsi="Times New Roman" w:cs="Times New Roman"/>
          <w:sz w:val="24"/>
          <w:szCs w:val="24"/>
        </w:rPr>
        <w:t xml:space="preserve"> patikėjimo teise </w:t>
      </w:r>
      <w:r w:rsidR="4015DFAF" w:rsidRPr="00EB48B8">
        <w:rPr>
          <w:rFonts w:ascii="Times New Roman" w:eastAsia="Times New Roman" w:hAnsi="Times New Roman" w:cs="Times New Roman"/>
          <w:sz w:val="24"/>
          <w:szCs w:val="24"/>
        </w:rPr>
        <w:t xml:space="preserve">perduoti Specialiųjų tyrimų tarnybai, </w:t>
      </w:r>
      <w:r w:rsidR="0096506B" w:rsidRPr="00EB48B8">
        <w:rPr>
          <w:rFonts w:ascii="Times New Roman" w:eastAsia="Times New Roman" w:hAnsi="Times New Roman" w:cs="Times New Roman"/>
          <w:sz w:val="24"/>
          <w:szCs w:val="24"/>
        </w:rPr>
        <w:t>1</w:t>
      </w:r>
      <w:r w:rsidR="4015DFAF" w:rsidRPr="00EB48B8">
        <w:rPr>
          <w:rFonts w:ascii="Times New Roman" w:eastAsia="Times New Roman" w:hAnsi="Times New Roman" w:cs="Times New Roman"/>
          <w:sz w:val="24"/>
          <w:szCs w:val="24"/>
        </w:rPr>
        <w:t xml:space="preserve"> </w:t>
      </w:r>
      <w:r w:rsidR="00994A72" w:rsidRPr="00EB48B8">
        <w:rPr>
          <w:rFonts w:ascii="Times New Roman" w:eastAsia="Times New Roman" w:hAnsi="Times New Roman" w:cs="Times New Roman"/>
          <w:sz w:val="24"/>
          <w:szCs w:val="24"/>
        </w:rPr>
        <w:t>–</w:t>
      </w:r>
      <w:r w:rsidR="06A95EDE" w:rsidRPr="00EB48B8">
        <w:rPr>
          <w:rFonts w:ascii="Times New Roman" w:eastAsia="Times New Roman" w:hAnsi="Times New Roman" w:cs="Times New Roman"/>
          <w:sz w:val="24"/>
          <w:szCs w:val="24"/>
        </w:rPr>
        <w:t xml:space="preserve"> Šalčininkų r. sav. </w:t>
      </w:r>
      <w:r w:rsidR="0B73B617" w:rsidRPr="00EB48B8">
        <w:rPr>
          <w:rFonts w:ascii="Times New Roman" w:eastAsia="Times New Roman" w:hAnsi="Times New Roman" w:cs="Times New Roman"/>
          <w:sz w:val="24"/>
          <w:szCs w:val="24"/>
        </w:rPr>
        <w:t>n</w:t>
      </w:r>
      <w:r w:rsidR="06A95EDE" w:rsidRPr="00EB48B8">
        <w:rPr>
          <w:rFonts w:ascii="Times New Roman" w:eastAsia="Times New Roman" w:hAnsi="Times New Roman" w:cs="Times New Roman"/>
          <w:sz w:val="24"/>
          <w:szCs w:val="24"/>
        </w:rPr>
        <w:t xml:space="preserve">uosavybėn. Prijungus </w:t>
      </w:r>
      <w:r w:rsidR="00636B57" w:rsidRPr="00EB48B8">
        <w:rPr>
          <w:rFonts w:ascii="Times New Roman" w:eastAsia="Times New Roman" w:hAnsi="Times New Roman" w:cs="Times New Roman"/>
          <w:sz w:val="24"/>
          <w:szCs w:val="24"/>
        </w:rPr>
        <w:t>Asmens dokumentų išrašymo centrą</w:t>
      </w:r>
      <w:r w:rsidR="00DD61DA" w:rsidRPr="00EB48B8">
        <w:rPr>
          <w:rFonts w:ascii="Times New Roman" w:eastAsia="Times New Roman" w:hAnsi="Times New Roman" w:cs="Times New Roman"/>
          <w:sz w:val="24"/>
          <w:szCs w:val="24"/>
        </w:rPr>
        <w:t xml:space="preserve"> prie Lietuvos Respublikos vidaus reikalų ministerijos</w:t>
      </w:r>
      <w:r w:rsidR="00636B57" w:rsidRPr="00EB48B8">
        <w:rPr>
          <w:rFonts w:ascii="Times New Roman" w:eastAsia="Times New Roman" w:hAnsi="Times New Roman" w:cs="Times New Roman"/>
          <w:sz w:val="24"/>
          <w:szCs w:val="24"/>
        </w:rPr>
        <w:t xml:space="preserve"> (toliau – </w:t>
      </w:r>
      <w:r w:rsidR="06A95EDE" w:rsidRPr="00EB48B8">
        <w:rPr>
          <w:rFonts w:ascii="Times New Roman" w:eastAsia="Times New Roman" w:hAnsi="Times New Roman" w:cs="Times New Roman"/>
          <w:sz w:val="24"/>
          <w:szCs w:val="24"/>
        </w:rPr>
        <w:t>ADIC</w:t>
      </w:r>
      <w:r w:rsidR="00636B57" w:rsidRPr="00EB48B8">
        <w:rPr>
          <w:rFonts w:ascii="Times New Roman" w:eastAsia="Times New Roman" w:hAnsi="Times New Roman" w:cs="Times New Roman"/>
          <w:sz w:val="24"/>
          <w:szCs w:val="24"/>
        </w:rPr>
        <w:t>)</w:t>
      </w:r>
      <w:r w:rsidR="06A95EDE" w:rsidRPr="00EB48B8">
        <w:rPr>
          <w:rFonts w:ascii="Times New Roman" w:eastAsia="Times New Roman" w:hAnsi="Times New Roman" w:cs="Times New Roman"/>
          <w:sz w:val="24"/>
          <w:szCs w:val="24"/>
        </w:rPr>
        <w:t xml:space="preserve"> prie Migracijos departamento</w:t>
      </w:r>
      <w:r w:rsidR="00206662" w:rsidRPr="00EB48B8">
        <w:rPr>
          <w:rFonts w:ascii="Times New Roman" w:eastAsia="Times New Roman" w:hAnsi="Times New Roman" w:cs="Times New Roman"/>
          <w:sz w:val="24"/>
          <w:szCs w:val="24"/>
        </w:rPr>
        <w:t xml:space="preserve"> prie Lietuvos Respublikos vidaus reikalų ministerijos (toliau – Migracijos departamentas)</w:t>
      </w:r>
      <w:r w:rsidR="18F809AA" w:rsidRPr="00EB48B8">
        <w:rPr>
          <w:rFonts w:ascii="Times New Roman" w:eastAsia="Times New Roman" w:hAnsi="Times New Roman" w:cs="Times New Roman"/>
          <w:sz w:val="24"/>
          <w:szCs w:val="24"/>
        </w:rPr>
        <w:t xml:space="preserve">, perduoti Migracijos departamentui anksčiau ADIC valdyti </w:t>
      </w:r>
      <w:r w:rsidR="00206662" w:rsidRPr="00EB48B8">
        <w:rPr>
          <w:rFonts w:ascii="Times New Roman" w:eastAsia="Times New Roman" w:hAnsi="Times New Roman" w:cs="Times New Roman"/>
          <w:sz w:val="24"/>
          <w:szCs w:val="24"/>
        </w:rPr>
        <w:t>nekilnojamojo turto</w:t>
      </w:r>
      <w:r w:rsidR="18F809AA" w:rsidRPr="00EB48B8">
        <w:rPr>
          <w:rFonts w:ascii="Times New Roman" w:eastAsia="Times New Roman" w:hAnsi="Times New Roman" w:cs="Times New Roman"/>
          <w:sz w:val="24"/>
          <w:szCs w:val="24"/>
        </w:rPr>
        <w:t xml:space="preserve"> objektai</w:t>
      </w:r>
      <w:r w:rsidR="5EF9F90A" w:rsidRPr="00EB48B8">
        <w:rPr>
          <w:rFonts w:ascii="Times New Roman" w:eastAsia="Times New Roman" w:hAnsi="Times New Roman" w:cs="Times New Roman"/>
          <w:sz w:val="24"/>
          <w:szCs w:val="24"/>
        </w:rPr>
        <w:t xml:space="preserve">, Lietuvos Šaulių sąjungai panaudos sutartimi perduotas </w:t>
      </w:r>
      <w:r w:rsidR="00206662" w:rsidRPr="00EB48B8">
        <w:rPr>
          <w:rFonts w:ascii="Times New Roman" w:eastAsia="Times New Roman" w:hAnsi="Times New Roman" w:cs="Times New Roman"/>
          <w:sz w:val="24"/>
          <w:szCs w:val="24"/>
        </w:rPr>
        <w:t>nekilnojamojo turto</w:t>
      </w:r>
      <w:r w:rsidR="5EF9F90A" w:rsidRPr="00EB48B8">
        <w:rPr>
          <w:rFonts w:ascii="Times New Roman" w:eastAsia="Times New Roman" w:hAnsi="Times New Roman" w:cs="Times New Roman"/>
          <w:sz w:val="24"/>
          <w:szCs w:val="24"/>
        </w:rPr>
        <w:t xml:space="preserve"> objektas Kaune</w:t>
      </w:r>
      <w:r w:rsidR="68C85E06" w:rsidRPr="00EB48B8">
        <w:rPr>
          <w:rFonts w:ascii="Times New Roman" w:eastAsia="Times New Roman" w:hAnsi="Times New Roman" w:cs="Times New Roman"/>
          <w:sz w:val="24"/>
          <w:szCs w:val="24"/>
        </w:rPr>
        <w:t xml:space="preserve">. Persikrausčius Finansinių nusikaltimų tyrimo tarnybai prie </w:t>
      </w:r>
      <w:r w:rsidR="0096506B" w:rsidRPr="00EB48B8">
        <w:rPr>
          <w:rFonts w:ascii="Times New Roman" w:eastAsia="Times New Roman" w:hAnsi="Times New Roman" w:cs="Times New Roman"/>
          <w:sz w:val="24"/>
          <w:szCs w:val="24"/>
        </w:rPr>
        <w:t>Lietuvos Respublikos vidaus reikalų ministerijos</w:t>
      </w:r>
      <w:r w:rsidR="68C85E06" w:rsidRPr="00EB48B8">
        <w:rPr>
          <w:rFonts w:ascii="Times New Roman" w:eastAsia="Times New Roman" w:hAnsi="Times New Roman" w:cs="Times New Roman"/>
          <w:sz w:val="24"/>
          <w:szCs w:val="24"/>
        </w:rPr>
        <w:t xml:space="preserve"> į kitas patalpas, sp</w:t>
      </w:r>
      <w:r w:rsidR="45D0699F" w:rsidRPr="00EB48B8">
        <w:rPr>
          <w:rFonts w:ascii="Times New Roman" w:eastAsia="Times New Roman" w:hAnsi="Times New Roman" w:cs="Times New Roman"/>
          <w:sz w:val="24"/>
          <w:szCs w:val="24"/>
        </w:rPr>
        <w:t>rendžiamas racionalus atlaisvintų patalpų Kaštonų g. 6/Šermukšnių g. 3, Vilniuje</w:t>
      </w:r>
      <w:r w:rsidR="57BFDDA4" w:rsidRPr="00EB48B8">
        <w:rPr>
          <w:rFonts w:ascii="Times New Roman" w:eastAsia="Times New Roman" w:hAnsi="Times New Roman" w:cs="Times New Roman"/>
          <w:sz w:val="24"/>
          <w:szCs w:val="24"/>
        </w:rPr>
        <w:t>, panaudojimas. Suteikus dalį atlaisvint</w:t>
      </w:r>
      <w:r w:rsidR="66088670" w:rsidRPr="00EB48B8">
        <w:rPr>
          <w:rFonts w:ascii="Times New Roman" w:eastAsia="Times New Roman" w:hAnsi="Times New Roman" w:cs="Times New Roman"/>
          <w:sz w:val="24"/>
          <w:szCs w:val="24"/>
        </w:rPr>
        <w:t xml:space="preserve">ų patalpų minėtu adresu </w:t>
      </w:r>
      <w:r w:rsidR="00511EA2" w:rsidRPr="00EB48B8">
        <w:rPr>
          <w:rFonts w:ascii="Times New Roman" w:eastAsia="Times New Roman" w:hAnsi="Times New Roman" w:cs="Times New Roman"/>
          <w:sz w:val="24"/>
          <w:szCs w:val="24"/>
        </w:rPr>
        <w:t xml:space="preserve">Valstybės sienos apsaugos tarnybai prie Lietuvos Respublikos vidaus reikalų ministerijos </w:t>
      </w:r>
      <w:r w:rsidR="0057432D" w:rsidRPr="00EB48B8">
        <w:rPr>
          <w:rFonts w:ascii="Times New Roman" w:eastAsia="Times New Roman" w:hAnsi="Times New Roman" w:cs="Times New Roman"/>
          <w:sz w:val="24"/>
          <w:szCs w:val="24"/>
        </w:rPr>
        <w:t>(toliau –</w:t>
      </w:r>
      <w:r w:rsidR="000246A1" w:rsidRPr="00EB48B8">
        <w:rPr>
          <w:rFonts w:ascii="Times New Roman" w:eastAsia="Times New Roman" w:hAnsi="Times New Roman" w:cs="Times New Roman"/>
          <w:sz w:val="24"/>
          <w:szCs w:val="24"/>
        </w:rPr>
        <w:t xml:space="preserve"> </w:t>
      </w:r>
      <w:r w:rsidR="66088670" w:rsidRPr="00EB48B8">
        <w:rPr>
          <w:rFonts w:ascii="Times New Roman" w:eastAsia="Times New Roman" w:hAnsi="Times New Roman" w:cs="Times New Roman"/>
          <w:sz w:val="24"/>
          <w:szCs w:val="24"/>
        </w:rPr>
        <w:t>VSAT</w:t>
      </w:r>
      <w:r w:rsidR="0057432D" w:rsidRPr="00EB48B8">
        <w:rPr>
          <w:rFonts w:ascii="Times New Roman" w:eastAsia="Times New Roman" w:hAnsi="Times New Roman" w:cs="Times New Roman"/>
          <w:sz w:val="24"/>
          <w:szCs w:val="24"/>
        </w:rPr>
        <w:t>)</w:t>
      </w:r>
      <w:r w:rsidR="66088670" w:rsidRPr="00EB48B8">
        <w:rPr>
          <w:rFonts w:ascii="Times New Roman" w:eastAsia="Times New Roman" w:hAnsi="Times New Roman" w:cs="Times New Roman"/>
          <w:sz w:val="24"/>
          <w:szCs w:val="24"/>
        </w:rPr>
        <w:t>, atsirado galimybė nutraukti (nepratęsti) VSAT sudarytos nuomos sutarti</w:t>
      </w:r>
      <w:r w:rsidR="6B075E2C" w:rsidRPr="00EB48B8">
        <w:rPr>
          <w:rFonts w:ascii="Times New Roman" w:eastAsia="Times New Roman" w:hAnsi="Times New Roman" w:cs="Times New Roman"/>
          <w:sz w:val="24"/>
          <w:szCs w:val="24"/>
        </w:rPr>
        <w:t xml:space="preserve">es su VĮ Turto banku ir tuo pačiu ženkliai sutaupyti anksčiau VSAT </w:t>
      </w:r>
      <w:r w:rsidR="017A5F7C" w:rsidRPr="00EB48B8">
        <w:rPr>
          <w:rFonts w:ascii="Times New Roman" w:eastAsia="Times New Roman" w:hAnsi="Times New Roman" w:cs="Times New Roman"/>
          <w:sz w:val="24"/>
          <w:szCs w:val="24"/>
        </w:rPr>
        <w:t>nuomai skiriamų lėšų.</w:t>
      </w:r>
      <w:r w:rsidR="00511EA2" w:rsidRPr="00EB48B8">
        <w:rPr>
          <w:rFonts w:ascii="Times New Roman" w:eastAsia="Times New Roman" w:hAnsi="Times New Roman" w:cs="Times New Roman"/>
          <w:sz w:val="24"/>
          <w:szCs w:val="24"/>
        </w:rPr>
        <w:t xml:space="preserve"> </w:t>
      </w:r>
      <w:r w:rsidRPr="00EB48B8">
        <w:rPr>
          <w:rFonts w:ascii="Times New Roman" w:eastAsia="Times New Roman" w:hAnsi="Times New Roman" w:cs="Times New Roman"/>
          <w:sz w:val="24"/>
          <w:szCs w:val="24"/>
        </w:rPr>
        <w:t>Vykdant panaudos</w:t>
      </w:r>
      <w:r w:rsidR="34A628C8" w:rsidRPr="00EB48B8">
        <w:rPr>
          <w:rFonts w:ascii="Times New Roman" w:eastAsia="Times New Roman" w:hAnsi="Times New Roman" w:cs="Times New Roman"/>
          <w:sz w:val="24"/>
          <w:szCs w:val="24"/>
        </w:rPr>
        <w:t>,</w:t>
      </w:r>
      <w:r w:rsidR="132F4E27" w:rsidRPr="00EB48B8">
        <w:rPr>
          <w:rFonts w:ascii="Times New Roman" w:eastAsia="Times New Roman" w:hAnsi="Times New Roman" w:cs="Times New Roman"/>
          <w:sz w:val="24"/>
          <w:szCs w:val="24"/>
        </w:rPr>
        <w:t xml:space="preserve"> </w:t>
      </w:r>
      <w:r w:rsidR="6C7A42B7" w:rsidRPr="00EB48B8">
        <w:rPr>
          <w:rFonts w:ascii="Times New Roman" w:eastAsia="Times New Roman" w:hAnsi="Times New Roman" w:cs="Times New Roman"/>
          <w:sz w:val="24"/>
          <w:szCs w:val="24"/>
        </w:rPr>
        <w:t xml:space="preserve">patikėjimo </w:t>
      </w:r>
      <w:r w:rsidR="50A12D00" w:rsidRPr="00EB48B8">
        <w:rPr>
          <w:rFonts w:ascii="Times New Roman" w:eastAsia="Times New Roman" w:hAnsi="Times New Roman" w:cs="Times New Roman"/>
          <w:sz w:val="24"/>
          <w:szCs w:val="24"/>
        </w:rPr>
        <w:t xml:space="preserve">ir </w:t>
      </w:r>
      <w:r w:rsidR="5C2E646C" w:rsidRPr="00EB48B8">
        <w:rPr>
          <w:rFonts w:ascii="Times New Roman" w:eastAsia="Times New Roman" w:hAnsi="Times New Roman" w:cs="Times New Roman"/>
          <w:sz w:val="24"/>
          <w:szCs w:val="24"/>
        </w:rPr>
        <w:t xml:space="preserve">nuomos </w:t>
      </w:r>
      <w:r w:rsidRPr="00EB48B8">
        <w:rPr>
          <w:rFonts w:ascii="Times New Roman" w:eastAsia="Times New Roman" w:hAnsi="Times New Roman" w:cs="Times New Roman"/>
          <w:sz w:val="24"/>
          <w:szCs w:val="24"/>
        </w:rPr>
        <w:t xml:space="preserve">sutarčių dėl valstybei nuosavybės teise priklausančio ir </w:t>
      </w:r>
      <w:r w:rsidR="0335FD97" w:rsidRPr="00EB48B8">
        <w:rPr>
          <w:rFonts w:ascii="Times New Roman" w:eastAsia="Times New Roman" w:hAnsi="Times New Roman" w:cs="Times New Roman"/>
          <w:sz w:val="24"/>
          <w:szCs w:val="24"/>
        </w:rPr>
        <w:t>Agentūros</w:t>
      </w:r>
      <w:r w:rsidRPr="00EB48B8">
        <w:rPr>
          <w:rFonts w:ascii="Times New Roman" w:eastAsia="Times New Roman" w:hAnsi="Times New Roman" w:cs="Times New Roman"/>
          <w:sz w:val="24"/>
          <w:szCs w:val="24"/>
        </w:rPr>
        <w:t xml:space="preserve"> patikėjimo teise valdomo turto, teisės aktų nustatyta tvarka perduoto laikinai neatlygintinai ar atlygintinai valdyti ir naudotis kitiems subjektams, kontrolės komisijos darbą, rinkti duomenis iš panaudos gavėjų apie nekilnojamojo turto naudojimą perduotą panaudos pagrindais (kokią veiklą vykdo panaudos gavėjas, ar panaudos gavėjas vykdo įsipareigojimus savo lėšomis atlikti nekilnojamojo daikto einamąjį ar statinio kapitalinį remontą ar vykdomos kitos panaudos sutarties sąlygos), pagal pateiktą ataskaitą-anketą dėl valstybės nekilnojamojo turto panaudos</w:t>
      </w:r>
      <w:r w:rsidR="3B05F18E" w:rsidRPr="00EB48B8">
        <w:rPr>
          <w:rFonts w:ascii="Times New Roman" w:eastAsia="Times New Roman" w:hAnsi="Times New Roman" w:cs="Times New Roman"/>
          <w:sz w:val="24"/>
          <w:szCs w:val="24"/>
        </w:rPr>
        <w:t xml:space="preserve">, patikėjimo ir </w:t>
      </w:r>
      <w:r w:rsidRPr="00EB48B8">
        <w:rPr>
          <w:rFonts w:ascii="Times New Roman" w:eastAsia="Times New Roman" w:hAnsi="Times New Roman" w:cs="Times New Roman"/>
          <w:sz w:val="24"/>
          <w:szCs w:val="24"/>
        </w:rPr>
        <w:t>nuomos sutarčių vykdymo, apdorota ir parengta bendra suvestinė apie nekilnojamojo turto panaudos,</w:t>
      </w:r>
      <w:r w:rsidR="1062206A" w:rsidRPr="00EB48B8">
        <w:rPr>
          <w:rFonts w:ascii="Times New Roman" w:eastAsia="Times New Roman" w:hAnsi="Times New Roman" w:cs="Times New Roman"/>
          <w:sz w:val="24"/>
          <w:szCs w:val="24"/>
        </w:rPr>
        <w:t xml:space="preserve"> patikėjimo ir</w:t>
      </w:r>
      <w:r w:rsidRPr="00EB48B8">
        <w:rPr>
          <w:rFonts w:ascii="Times New Roman" w:eastAsia="Times New Roman" w:hAnsi="Times New Roman" w:cs="Times New Roman"/>
          <w:sz w:val="24"/>
          <w:szCs w:val="24"/>
        </w:rPr>
        <w:t xml:space="preserve"> nuomos sutarčių vykdymą.</w:t>
      </w:r>
    </w:p>
    <w:p w14:paraId="76F671B4" w14:textId="279D6180" w:rsidR="63939CDB" w:rsidRPr="00EB48B8" w:rsidRDefault="63939CDB" w:rsidP="007A5062">
      <w:pPr>
        <w:tabs>
          <w:tab w:val="left" w:pos="567"/>
          <w:tab w:val="left" w:pos="1134"/>
          <w:tab w:val="center" w:pos="4153"/>
          <w:tab w:val="right" w:pos="8306"/>
        </w:tabs>
        <w:spacing w:line="276" w:lineRule="auto"/>
        <w:ind w:firstLine="709"/>
        <w:jc w:val="both"/>
        <w:rPr>
          <w:rFonts w:ascii="Times New Roman" w:eastAsia="Times New Roman" w:hAnsi="Times New Roman" w:cs="Times New Roman"/>
          <w:sz w:val="24"/>
          <w:szCs w:val="24"/>
        </w:rPr>
      </w:pPr>
      <w:r w:rsidRPr="00EB48B8">
        <w:rPr>
          <w:rFonts w:ascii="Times New Roman" w:eastAsia="Times New Roman" w:hAnsi="Times New Roman" w:cs="Times New Roman"/>
          <w:sz w:val="24"/>
          <w:szCs w:val="24"/>
        </w:rPr>
        <w:t xml:space="preserve">Centralizuotas nekilnojamojo turto administravimas ir ūkio priežiūros (patalpų remontas, patalpų ir teritorijos tvarkymo darbų atlikimas, gaisrinės, apsauginės signalizacijų, </w:t>
      </w:r>
      <w:r w:rsidR="3D03C315" w:rsidRPr="00EB48B8">
        <w:rPr>
          <w:rFonts w:ascii="Times New Roman" w:eastAsia="Times New Roman" w:hAnsi="Times New Roman" w:cs="Times New Roman"/>
          <w:sz w:val="24"/>
          <w:szCs w:val="24"/>
        </w:rPr>
        <w:t xml:space="preserve">evakuacinės pranešimų sistemos, </w:t>
      </w:r>
      <w:r w:rsidRPr="00EB48B8">
        <w:rPr>
          <w:rFonts w:ascii="Times New Roman" w:eastAsia="Times New Roman" w:hAnsi="Times New Roman" w:cs="Times New Roman"/>
          <w:sz w:val="24"/>
          <w:szCs w:val="24"/>
        </w:rPr>
        <w:t xml:space="preserve">įeigos kontrolės, vaizdo stebėjimo sistemų, šilumos, vandentiekio, elektros ūkio priežiūra ir aptarnavimas) atlikimas mažina administracinę naštą, užtikrina ženkliai mažesnes ūkinės priežiūros sąnaudas. </w:t>
      </w:r>
    </w:p>
    <w:p w14:paraId="5491E2A4" w14:textId="77777777" w:rsidR="000246A1" w:rsidRPr="00EB48B8" w:rsidRDefault="77999DF2" w:rsidP="00511EA2">
      <w:pPr>
        <w:spacing w:line="276" w:lineRule="auto"/>
        <w:ind w:firstLine="709"/>
        <w:jc w:val="both"/>
        <w:rPr>
          <w:rFonts w:ascii="Times New Roman" w:eastAsia="Times New Roman" w:hAnsi="Times New Roman" w:cs="Times New Roman"/>
          <w:sz w:val="24"/>
          <w:szCs w:val="24"/>
        </w:rPr>
      </w:pPr>
      <w:r w:rsidRPr="00EB48B8">
        <w:rPr>
          <w:rFonts w:ascii="Times New Roman" w:eastAsia="Times New Roman" w:hAnsi="Times New Roman" w:cs="Times New Roman"/>
          <w:sz w:val="24"/>
          <w:szCs w:val="24"/>
        </w:rPr>
        <w:t>2025 metais administruotos 115 ūkinių/techninių paslaugų teikimo sutartys</w:t>
      </w:r>
      <w:r w:rsidR="33B46DE2" w:rsidRPr="00EB48B8">
        <w:rPr>
          <w:rFonts w:ascii="Times New Roman" w:eastAsia="Times New Roman" w:hAnsi="Times New Roman" w:cs="Times New Roman"/>
          <w:sz w:val="24"/>
          <w:szCs w:val="24"/>
        </w:rPr>
        <w:t>,</w:t>
      </w:r>
      <w:r w:rsidR="7B5E3B36" w:rsidRPr="00EB48B8">
        <w:rPr>
          <w:rFonts w:ascii="Times New Roman" w:eastAsia="Times New Roman" w:hAnsi="Times New Roman" w:cs="Times New Roman"/>
          <w:sz w:val="24"/>
          <w:szCs w:val="24"/>
        </w:rPr>
        <w:t xml:space="preserve"> 3 </w:t>
      </w:r>
      <w:r w:rsidR="000246A1" w:rsidRPr="00EB48B8">
        <w:rPr>
          <w:rFonts w:ascii="Times New Roman" w:eastAsia="Times New Roman" w:hAnsi="Times New Roman" w:cs="Times New Roman"/>
          <w:sz w:val="24"/>
          <w:szCs w:val="24"/>
        </w:rPr>
        <w:t xml:space="preserve">– </w:t>
      </w:r>
      <w:r w:rsidR="51CC8678" w:rsidRPr="00EB48B8">
        <w:rPr>
          <w:rFonts w:ascii="Times New Roman" w:eastAsia="Times New Roman" w:hAnsi="Times New Roman" w:cs="Times New Roman"/>
          <w:sz w:val="24"/>
          <w:szCs w:val="24"/>
        </w:rPr>
        <w:t xml:space="preserve">turto </w:t>
      </w:r>
      <w:r w:rsidR="7B5E3B36" w:rsidRPr="00EB48B8">
        <w:rPr>
          <w:rFonts w:ascii="Times New Roman" w:eastAsia="Times New Roman" w:hAnsi="Times New Roman" w:cs="Times New Roman"/>
          <w:sz w:val="24"/>
          <w:szCs w:val="24"/>
        </w:rPr>
        <w:t>draudimo sutartys</w:t>
      </w:r>
      <w:r w:rsidRPr="00EB48B8">
        <w:rPr>
          <w:rFonts w:ascii="Times New Roman" w:eastAsia="Times New Roman" w:hAnsi="Times New Roman" w:cs="Times New Roman"/>
          <w:sz w:val="24"/>
          <w:szCs w:val="24"/>
        </w:rPr>
        <w:t xml:space="preserve"> ir suteikta/gauta paslaugų už 839086,49</w:t>
      </w:r>
      <w:r w:rsidR="00511EA2" w:rsidRPr="00EB48B8">
        <w:rPr>
          <w:rFonts w:ascii="Times New Roman" w:eastAsia="Times New Roman" w:hAnsi="Times New Roman" w:cs="Times New Roman"/>
          <w:sz w:val="24"/>
          <w:szCs w:val="24"/>
        </w:rPr>
        <w:t xml:space="preserve"> </w:t>
      </w:r>
      <w:r w:rsidRPr="00EB48B8">
        <w:rPr>
          <w:rFonts w:ascii="Times New Roman" w:eastAsia="Times New Roman" w:hAnsi="Times New Roman" w:cs="Times New Roman"/>
          <w:sz w:val="24"/>
          <w:szCs w:val="24"/>
        </w:rPr>
        <w:t xml:space="preserve">Eur. </w:t>
      </w:r>
    </w:p>
    <w:p w14:paraId="129CC6DA" w14:textId="6E267636" w:rsidR="008916B5" w:rsidRPr="00EB48B8" w:rsidRDefault="77999DF2" w:rsidP="00511EA2">
      <w:pPr>
        <w:spacing w:line="276" w:lineRule="auto"/>
        <w:ind w:firstLine="709"/>
        <w:jc w:val="both"/>
        <w:rPr>
          <w:rFonts w:ascii="Times New Roman" w:eastAsia="Times New Roman" w:hAnsi="Times New Roman" w:cs="Times New Roman"/>
          <w:sz w:val="24"/>
          <w:szCs w:val="24"/>
        </w:rPr>
      </w:pPr>
      <w:r w:rsidRPr="00EB48B8">
        <w:rPr>
          <w:rFonts w:ascii="Times New Roman" w:eastAsia="Times New Roman" w:hAnsi="Times New Roman" w:cs="Times New Roman"/>
          <w:sz w:val="24"/>
          <w:szCs w:val="24"/>
        </w:rPr>
        <w:t>Surinkta, apibendrinta informacija apie nekilnojamojo turto, esančio pastate Šventaragio g. 2, Vilniuje, Sapiegos g. 1, Vilniuje, Linkmenų g. 26, Vilniuje, Žirmūnų 1 E, , Vilniuje, Kęstučio 1, Marijampolėje, Vivulskio g. 43, Vilniuje, išlaikymo sąnaudas ir suvestos valstybės turto informacinėje paieškos sistemoje (VTIPS).</w:t>
      </w:r>
    </w:p>
    <w:p w14:paraId="0F9B7A35" w14:textId="3F36BCC1" w:rsidR="2FE38A61" w:rsidRPr="00EB48B8" w:rsidRDefault="2FE38A61" w:rsidP="070233B9">
      <w:pPr>
        <w:spacing w:line="276" w:lineRule="auto"/>
        <w:ind w:firstLine="709"/>
        <w:jc w:val="both"/>
        <w:rPr>
          <w:rFonts w:ascii="Times New Roman" w:eastAsia="Times New Roman" w:hAnsi="Times New Roman" w:cs="Times New Roman"/>
          <w:sz w:val="24"/>
          <w:szCs w:val="24"/>
        </w:rPr>
      </w:pPr>
      <w:r w:rsidRPr="00EB48B8">
        <w:rPr>
          <w:rFonts w:ascii="Times New Roman" w:eastAsia="Times New Roman" w:hAnsi="Times New Roman" w:cs="Times New Roman"/>
          <w:sz w:val="24"/>
          <w:szCs w:val="24"/>
        </w:rPr>
        <w:t>202</w:t>
      </w:r>
      <w:r w:rsidR="4A57D3FA" w:rsidRPr="00EB48B8">
        <w:rPr>
          <w:rFonts w:ascii="Times New Roman" w:eastAsia="Times New Roman" w:hAnsi="Times New Roman" w:cs="Times New Roman"/>
          <w:sz w:val="24"/>
          <w:szCs w:val="24"/>
        </w:rPr>
        <w:t>5</w:t>
      </w:r>
      <w:r w:rsidRPr="00EB48B8">
        <w:rPr>
          <w:rFonts w:ascii="Times New Roman" w:eastAsia="Times New Roman" w:hAnsi="Times New Roman" w:cs="Times New Roman"/>
          <w:sz w:val="24"/>
          <w:szCs w:val="24"/>
        </w:rPr>
        <w:t xml:space="preserve"> m. organizuot</w:t>
      </w:r>
      <w:r w:rsidR="1E471DE0" w:rsidRPr="00EB48B8">
        <w:rPr>
          <w:rFonts w:ascii="Times New Roman" w:eastAsia="Times New Roman" w:hAnsi="Times New Roman" w:cs="Times New Roman"/>
          <w:sz w:val="24"/>
          <w:szCs w:val="24"/>
        </w:rPr>
        <w:t>i</w:t>
      </w:r>
      <w:r w:rsidRPr="00EB48B8">
        <w:rPr>
          <w:rFonts w:ascii="Times New Roman" w:eastAsia="Times New Roman" w:hAnsi="Times New Roman" w:cs="Times New Roman"/>
          <w:sz w:val="24"/>
          <w:szCs w:val="24"/>
        </w:rPr>
        <w:t xml:space="preserve"> ir atlikt</w:t>
      </w:r>
      <w:r w:rsidR="3C066CFC" w:rsidRPr="00EB48B8">
        <w:rPr>
          <w:rFonts w:ascii="Times New Roman" w:eastAsia="Times New Roman" w:hAnsi="Times New Roman" w:cs="Times New Roman"/>
          <w:sz w:val="24"/>
          <w:szCs w:val="24"/>
        </w:rPr>
        <w:t>i</w:t>
      </w:r>
      <w:r w:rsidRPr="00EB48B8">
        <w:rPr>
          <w:rFonts w:ascii="Times New Roman" w:eastAsia="Times New Roman" w:hAnsi="Times New Roman" w:cs="Times New Roman"/>
          <w:sz w:val="24"/>
          <w:szCs w:val="24"/>
        </w:rPr>
        <w:t xml:space="preserve"> pastat</w:t>
      </w:r>
      <w:r w:rsidR="75F367C5" w:rsidRPr="00EB48B8">
        <w:rPr>
          <w:rFonts w:ascii="Times New Roman" w:eastAsia="Times New Roman" w:hAnsi="Times New Roman" w:cs="Times New Roman"/>
          <w:sz w:val="24"/>
          <w:szCs w:val="24"/>
        </w:rPr>
        <w:t>ų</w:t>
      </w:r>
      <w:r w:rsidRPr="00EB48B8">
        <w:rPr>
          <w:rFonts w:ascii="Times New Roman" w:eastAsia="Times New Roman" w:hAnsi="Times New Roman" w:cs="Times New Roman"/>
          <w:sz w:val="24"/>
          <w:szCs w:val="24"/>
        </w:rPr>
        <w:t>, esan</w:t>
      </w:r>
      <w:r w:rsidR="51673EE4" w:rsidRPr="00EB48B8">
        <w:rPr>
          <w:rFonts w:ascii="Times New Roman" w:eastAsia="Times New Roman" w:hAnsi="Times New Roman" w:cs="Times New Roman"/>
          <w:sz w:val="24"/>
          <w:szCs w:val="24"/>
        </w:rPr>
        <w:t>č</w:t>
      </w:r>
      <w:r w:rsidR="6CDB1A13" w:rsidRPr="00EB48B8">
        <w:rPr>
          <w:rFonts w:ascii="Times New Roman" w:eastAsia="Times New Roman" w:hAnsi="Times New Roman" w:cs="Times New Roman"/>
          <w:sz w:val="24"/>
          <w:szCs w:val="24"/>
        </w:rPr>
        <w:t>i</w:t>
      </w:r>
      <w:r w:rsidR="62F8BF3D" w:rsidRPr="00EB48B8">
        <w:rPr>
          <w:rFonts w:ascii="Times New Roman" w:eastAsia="Times New Roman" w:hAnsi="Times New Roman" w:cs="Times New Roman"/>
          <w:sz w:val="24"/>
          <w:szCs w:val="24"/>
        </w:rPr>
        <w:t>ų</w:t>
      </w:r>
      <w:r w:rsidR="6CDB1A13" w:rsidRPr="00EB48B8">
        <w:rPr>
          <w:rFonts w:ascii="Times New Roman" w:eastAsia="Times New Roman" w:hAnsi="Times New Roman" w:cs="Times New Roman"/>
          <w:sz w:val="24"/>
          <w:szCs w:val="24"/>
        </w:rPr>
        <w:t xml:space="preserve"> </w:t>
      </w:r>
      <w:r w:rsidR="3FEECAD2" w:rsidRPr="00EB48B8">
        <w:rPr>
          <w:rFonts w:ascii="Times New Roman" w:eastAsia="Times New Roman" w:hAnsi="Times New Roman" w:cs="Times New Roman"/>
          <w:sz w:val="24"/>
          <w:szCs w:val="24"/>
        </w:rPr>
        <w:t xml:space="preserve">A. </w:t>
      </w:r>
      <w:r w:rsidR="6CDB1A13" w:rsidRPr="00EB48B8">
        <w:rPr>
          <w:rFonts w:ascii="Times New Roman" w:eastAsia="Times New Roman" w:hAnsi="Times New Roman" w:cs="Times New Roman"/>
          <w:sz w:val="24"/>
          <w:szCs w:val="24"/>
        </w:rPr>
        <w:t>Vivulskio g.</w:t>
      </w:r>
      <w:r w:rsidRPr="00EB48B8">
        <w:rPr>
          <w:rFonts w:ascii="Times New Roman" w:eastAsia="Times New Roman" w:hAnsi="Times New Roman" w:cs="Times New Roman"/>
          <w:sz w:val="24"/>
          <w:szCs w:val="24"/>
        </w:rPr>
        <w:t xml:space="preserve"> </w:t>
      </w:r>
      <w:r w:rsidR="517E16B5" w:rsidRPr="00EB48B8">
        <w:rPr>
          <w:rFonts w:ascii="Times New Roman" w:eastAsia="Times New Roman" w:hAnsi="Times New Roman" w:cs="Times New Roman"/>
          <w:sz w:val="24"/>
          <w:szCs w:val="24"/>
        </w:rPr>
        <w:t>43</w:t>
      </w:r>
      <w:r w:rsidR="0535FD8F" w:rsidRPr="00EB48B8">
        <w:rPr>
          <w:rFonts w:ascii="Times New Roman" w:eastAsia="Times New Roman" w:hAnsi="Times New Roman" w:cs="Times New Roman"/>
          <w:sz w:val="24"/>
          <w:szCs w:val="24"/>
        </w:rPr>
        <w:t>, Vilniuje</w:t>
      </w:r>
      <w:r w:rsidR="24ADCE92" w:rsidRPr="00EB48B8">
        <w:rPr>
          <w:rFonts w:ascii="Times New Roman" w:eastAsia="Times New Roman" w:hAnsi="Times New Roman" w:cs="Times New Roman"/>
          <w:sz w:val="24"/>
          <w:szCs w:val="24"/>
        </w:rPr>
        <w:t xml:space="preserve"> ir Miško g. 7, </w:t>
      </w:r>
      <w:proofErr w:type="spellStart"/>
      <w:r w:rsidR="24ADCE92" w:rsidRPr="00EB48B8">
        <w:rPr>
          <w:rFonts w:ascii="Times New Roman" w:eastAsia="Times New Roman" w:hAnsi="Times New Roman" w:cs="Times New Roman"/>
          <w:sz w:val="24"/>
          <w:szCs w:val="24"/>
        </w:rPr>
        <w:t>Val</w:t>
      </w:r>
      <w:r w:rsidR="5CDA2792" w:rsidRPr="00EB48B8">
        <w:rPr>
          <w:rFonts w:ascii="Times New Roman" w:eastAsia="Times New Roman" w:hAnsi="Times New Roman" w:cs="Times New Roman"/>
          <w:sz w:val="24"/>
          <w:szCs w:val="24"/>
        </w:rPr>
        <w:t>čiūnų</w:t>
      </w:r>
      <w:proofErr w:type="spellEnd"/>
      <w:r w:rsidR="5CDA2792" w:rsidRPr="00EB48B8">
        <w:rPr>
          <w:rFonts w:ascii="Times New Roman" w:eastAsia="Times New Roman" w:hAnsi="Times New Roman" w:cs="Times New Roman"/>
          <w:sz w:val="24"/>
          <w:szCs w:val="24"/>
        </w:rPr>
        <w:t xml:space="preserve"> km., Vilniaus raj.</w:t>
      </w:r>
      <w:r w:rsidR="66DAFD65" w:rsidRPr="00EB48B8">
        <w:rPr>
          <w:rFonts w:ascii="Times New Roman" w:eastAsia="Times New Roman" w:hAnsi="Times New Roman" w:cs="Times New Roman"/>
          <w:sz w:val="24"/>
          <w:szCs w:val="24"/>
        </w:rPr>
        <w:t>,</w:t>
      </w:r>
      <w:r w:rsidR="517E16B5" w:rsidRPr="00EB48B8">
        <w:rPr>
          <w:rFonts w:ascii="Times New Roman" w:eastAsia="Times New Roman" w:hAnsi="Times New Roman" w:cs="Times New Roman"/>
          <w:sz w:val="24"/>
          <w:szCs w:val="24"/>
        </w:rPr>
        <w:t xml:space="preserve"> </w:t>
      </w:r>
      <w:r w:rsidRPr="00EB48B8">
        <w:rPr>
          <w:rFonts w:ascii="Times New Roman" w:eastAsia="Times New Roman" w:hAnsi="Times New Roman" w:cs="Times New Roman"/>
          <w:sz w:val="24"/>
          <w:szCs w:val="24"/>
        </w:rPr>
        <w:t>stogo remonta</w:t>
      </w:r>
      <w:r w:rsidR="5714CAB2" w:rsidRPr="00EB48B8">
        <w:rPr>
          <w:rFonts w:ascii="Times New Roman" w:eastAsia="Times New Roman" w:hAnsi="Times New Roman" w:cs="Times New Roman"/>
          <w:sz w:val="24"/>
          <w:szCs w:val="24"/>
        </w:rPr>
        <w:t>i</w:t>
      </w:r>
      <w:r w:rsidR="6CDBFEE5" w:rsidRPr="00EB48B8">
        <w:rPr>
          <w:rFonts w:ascii="Times New Roman" w:eastAsia="Times New Roman" w:hAnsi="Times New Roman" w:cs="Times New Roman"/>
          <w:sz w:val="24"/>
          <w:szCs w:val="24"/>
        </w:rPr>
        <w:t>,</w:t>
      </w:r>
      <w:r w:rsidR="75C91B36" w:rsidRPr="00EB48B8">
        <w:rPr>
          <w:rFonts w:ascii="Times New Roman" w:eastAsia="Times New Roman" w:hAnsi="Times New Roman" w:cs="Times New Roman"/>
          <w:sz w:val="24"/>
          <w:szCs w:val="24"/>
        </w:rPr>
        <w:t xml:space="preserve"> bei </w:t>
      </w:r>
      <w:r w:rsidR="47CC838A" w:rsidRPr="00EB48B8">
        <w:rPr>
          <w:rFonts w:ascii="Times New Roman" w:eastAsia="Times New Roman" w:hAnsi="Times New Roman" w:cs="Times New Roman"/>
          <w:sz w:val="24"/>
          <w:szCs w:val="24"/>
        </w:rPr>
        <w:t xml:space="preserve">įrengta </w:t>
      </w:r>
      <w:r w:rsidR="75C91B36" w:rsidRPr="00EB48B8">
        <w:rPr>
          <w:rFonts w:ascii="Times New Roman" w:eastAsia="Times New Roman" w:hAnsi="Times New Roman" w:cs="Times New Roman"/>
          <w:sz w:val="24"/>
          <w:szCs w:val="24"/>
        </w:rPr>
        <w:t>VRM priedang</w:t>
      </w:r>
      <w:r w:rsidR="1137D226" w:rsidRPr="00EB48B8">
        <w:rPr>
          <w:rFonts w:ascii="Times New Roman" w:eastAsia="Times New Roman" w:hAnsi="Times New Roman" w:cs="Times New Roman"/>
          <w:sz w:val="24"/>
          <w:szCs w:val="24"/>
        </w:rPr>
        <w:t>a</w:t>
      </w:r>
      <w:r w:rsidR="75C91B36" w:rsidRPr="00EB48B8">
        <w:rPr>
          <w:rFonts w:ascii="Times New Roman" w:eastAsia="Times New Roman" w:hAnsi="Times New Roman" w:cs="Times New Roman"/>
          <w:sz w:val="24"/>
          <w:szCs w:val="24"/>
        </w:rPr>
        <w:t xml:space="preserve"> </w:t>
      </w:r>
      <w:r w:rsidR="51494F4C" w:rsidRPr="00EB48B8">
        <w:rPr>
          <w:rFonts w:ascii="Times New Roman" w:eastAsia="Times New Roman" w:hAnsi="Times New Roman" w:cs="Times New Roman"/>
          <w:sz w:val="24"/>
          <w:szCs w:val="24"/>
        </w:rPr>
        <w:t xml:space="preserve">administracinio pastato </w:t>
      </w:r>
      <w:r w:rsidR="6B0C3BE9" w:rsidRPr="00EB48B8">
        <w:rPr>
          <w:rFonts w:ascii="Times New Roman" w:eastAsia="Times New Roman" w:hAnsi="Times New Roman" w:cs="Times New Roman"/>
          <w:sz w:val="24"/>
          <w:szCs w:val="24"/>
        </w:rPr>
        <w:t>rūsio patalpose</w:t>
      </w:r>
      <w:r w:rsidR="2940C584" w:rsidRPr="00EB48B8">
        <w:rPr>
          <w:rFonts w:ascii="Times New Roman" w:eastAsia="Times New Roman" w:hAnsi="Times New Roman" w:cs="Times New Roman"/>
          <w:sz w:val="24"/>
          <w:szCs w:val="24"/>
        </w:rPr>
        <w:t xml:space="preserve">, esančiose Šventaragio g. 2, Vilniuje. Atlikta remonto darbų už 22185,84 </w:t>
      </w:r>
      <w:r w:rsidR="255F7654" w:rsidRPr="00EB48B8">
        <w:rPr>
          <w:rFonts w:ascii="Times New Roman" w:eastAsia="Times New Roman" w:hAnsi="Times New Roman" w:cs="Times New Roman"/>
          <w:sz w:val="24"/>
          <w:szCs w:val="24"/>
        </w:rPr>
        <w:t>Eur.</w:t>
      </w:r>
      <w:r w:rsidR="5E15A685" w:rsidRPr="00EB48B8">
        <w:rPr>
          <w:rFonts w:ascii="Times New Roman" w:eastAsia="Times New Roman" w:hAnsi="Times New Roman" w:cs="Times New Roman"/>
          <w:sz w:val="24"/>
          <w:szCs w:val="24"/>
        </w:rPr>
        <w:t xml:space="preserve"> Įsigyti pastatų, esančių Žygimantų g. 8, </w:t>
      </w:r>
      <w:r w:rsidR="3D36F226" w:rsidRPr="00EB48B8">
        <w:rPr>
          <w:rFonts w:ascii="Times New Roman" w:eastAsia="Times New Roman" w:hAnsi="Times New Roman" w:cs="Times New Roman"/>
          <w:sz w:val="24"/>
          <w:szCs w:val="24"/>
        </w:rPr>
        <w:t xml:space="preserve">Linkmenų g. 26, Sapiegos g. 1, Šventaragio </w:t>
      </w:r>
      <w:r w:rsidR="36150199" w:rsidRPr="00EB48B8">
        <w:rPr>
          <w:rFonts w:ascii="Times New Roman" w:eastAsia="Times New Roman" w:hAnsi="Times New Roman" w:cs="Times New Roman"/>
          <w:sz w:val="24"/>
          <w:szCs w:val="24"/>
        </w:rPr>
        <w:t>g. 2, Žirmūnų g. 1D, Vilniuje, energetinio naudingumo serti</w:t>
      </w:r>
      <w:r w:rsidR="05DC6F31" w:rsidRPr="00EB48B8">
        <w:rPr>
          <w:rFonts w:ascii="Times New Roman" w:eastAsia="Times New Roman" w:hAnsi="Times New Roman" w:cs="Times New Roman"/>
          <w:sz w:val="24"/>
          <w:szCs w:val="24"/>
        </w:rPr>
        <w:t>fikatai.</w:t>
      </w:r>
    </w:p>
    <w:p w14:paraId="2BD6DA71" w14:textId="3D28F62A" w:rsidR="63939CDB" w:rsidRPr="00EB48B8" w:rsidRDefault="56825CE2" w:rsidP="009766BE">
      <w:pPr>
        <w:spacing w:line="276" w:lineRule="auto"/>
        <w:ind w:firstLine="709"/>
        <w:jc w:val="both"/>
        <w:rPr>
          <w:rFonts w:ascii="Times New Roman" w:eastAsia="Times New Roman" w:hAnsi="Times New Roman" w:cs="Times New Roman"/>
          <w:sz w:val="24"/>
          <w:szCs w:val="24"/>
        </w:rPr>
      </w:pPr>
      <w:r w:rsidRPr="00EB48B8">
        <w:rPr>
          <w:rFonts w:ascii="Times New Roman" w:eastAsia="Times New Roman" w:hAnsi="Times New Roman" w:cs="Times New Roman"/>
          <w:sz w:val="24"/>
          <w:szCs w:val="24"/>
        </w:rPr>
        <w:t xml:space="preserve">2025 </w:t>
      </w:r>
      <w:r w:rsidR="1757EF2F" w:rsidRPr="00EB48B8">
        <w:rPr>
          <w:rFonts w:ascii="Times New Roman" w:eastAsia="Times New Roman" w:hAnsi="Times New Roman" w:cs="Times New Roman"/>
          <w:sz w:val="24"/>
          <w:szCs w:val="24"/>
        </w:rPr>
        <w:t xml:space="preserve">metais, </w:t>
      </w:r>
      <w:r w:rsidR="7B514FC9" w:rsidRPr="00EB48B8">
        <w:rPr>
          <w:rFonts w:ascii="Times New Roman" w:eastAsia="Times New Roman" w:hAnsi="Times New Roman" w:cs="Times New Roman"/>
          <w:sz w:val="24"/>
          <w:szCs w:val="24"/>
        </w:rPr>
        <w:t>u</w:t>
      </w:r>
      <w:r w:rsidR="75AC6703" w:rsidRPr="00EB48B8">
        <w:rPr>
          <w:rFonts w:ascii="Times New Roman" w:eastAsia="Times New Roman" w:hAnsi="Times New Roman" w:cs="Times New Roman"/>
          <w:sz w:val="24"/>
          <w:szCs w:val="24"/>
        </w:rPr>
        <w:t xml:space="preserve">žtikrintas </w:t>
      </w:r>
      <w:r w:rsidR="000246A1" w:rsidRPr="00EB48B8">
        <w:rPr>
          <w:rFonts w:ascii="Times New Roman" w:eastAsia="Times New Roman" w:hAnsi="Times New Roman" w:cs="Times New Roman"/>
          <w:sz w:val="24"/>
          <w:szCs w:val="24"/>
        </w:rPr>
        <w:t>V</w:t>
      </w:r>
      <w:r w:rsidR="424C5411" w:rsidRPr="00EB48B8">
        <w:rPr>
          <w:rFonts w:ascii="Times New Roman" w:eastAsia="Times New Roman" w:hAnsi="Times New Roman" w:cs="Times New Roman"/>
          <w:sz w:val="24"/>
          <w:szCs w:val="24"/>
        </w:rPr>
        <w:t xml:space="preserve">idaus reikalų ministerijos </w:t>
      </w:r>
      <w:r w:rsidR="38EFD6D6" w:rsidRPr="00EB48B8">
        <w:rPr>
          <w:rFonts w:ascii="Times New Roman" w:eastAsia="Times New Roman" w:hAnsi="Times New Roman" w:cs="Times New Roman"/>
          <w:sz w:val="24"/>
          <w:szCs w:val="24"/>
        </w:rPr>
        <w:t>ir įstaigų prie V</w:t>
      </w:r>
      <w:r w:rsidR="00210DB4" w:rsidRPr="00EB48B8">
        <w:rPr>
          <w:rFonts w:ascii="Times New Roman" w:eastAsia="Times New Roman" w:hAnsi="Times New Roman" w:cs="Times New Roman"/>
          <w:sz w:val="24"/>
          <w:szCs w:val="24"/>
        </w:rPr>
        <w:t xml:space="preserve">idaus reikalų ministerijos </w:t>
      </w:r>
      <w:r w:rsidR="38EFD6D6" w:rsidRPr="00EB48B8">
        <w:rPr>
          <w:rFonts w:ascii="Times New Roman" w:eastAsia="Times New Roman" w:hAnsi="Times New Roman" w:cs="Times New Roman"/>
          <w:sz w:val="24"/>
          <w:szCs w:val="24"/>
        </w:rPr>
        <w:t xml:space="preserve">darbuotojų, </w:t>
      </w:r>
      <w:r w:rsidR="75AC6703" w:rsidRPr="00EB48B8">
        <w:rPr>
          <w:rFonts w:ascii="Times New Roman" w:eastAsia="Times New Roman" w:hAnsi="Times New Roman" w:cs="Times New Roman"/>
          <w:sz w:val="24"/>
          <w:szCs w:val="24"/>
        </w:rPr>
        <w:t>lankytojų</w:t>
      </w:r>
      <w:r w:rsidR="38FA3E8C" w:rsidRPr="00EB48B8">
        <w:rPr>
          <w:rFonts w:ascii="Times New Roman" w:eastAsia="Times New Roman" w:hAnsi="Times New Roman" w:cs="Times New Roman"/>
          <w:sz w:val="24"/>
          <w:szCs w:val="24"/>
        </w:rPr>
        <w:t>,</w:t>
      </w:r>
      <w:r w:rsidR="00210DB4" w:rsidRPr="00EB48B8">
        <w:rPr>
          <w:rFonts w:ascii="Times New Roman" w:eastAsia="Times New Roman" w:hAnsi="Times New Roman" w:cs="Times New Roman"/>
          <w:sz w:val="24"/>
          <w:szCs w:val="24"/>
        </w:rPr>
        <w:t xml:space="preserve"> </w:t>
      </w:r>
      <w:r w:rsidR="75AC6703" w:rsidRPr="00EB48B8">
        <w:rPr>
          <w:rFonts w:ascii="Times New Roman" w:eastAsia="Times New Roman" w:hAnsi="Times New Roman" w:cs="Times New Roman"/>
          <w:sz w:val="24"/>
          <w:szCs w:val="24"/>
        </w:rPr>
        <w:t>svečių patekimas į V</w:t>
      </w:r>
      <w:r w:rsidR="00210DB4" w:rsidRPr="00EB48B8">
        <w:rPr>
          <w:rFonts w:ascii="Times New Roman" w:eastAsia="Times New Roman" w:hAnsi="Times New Roman" w:cs="Times New Roman"/>
          <w:sz w:val="24"/>
          <w:szCs w:val="24"/>
        </w:rPr>
        <w:t>idaus reikalų ministerijos</w:t>
      </w:r>
      <w:r w:rsidR="75AC6703" w:rsidRPr="00EB48B8">
        <w:rPr>
          <w:rFonts w:ascii="Times New Roman" w:eastAsia="Times New Roman" w:hAnsi="Times New Roman" w:cs="Times New Roman"/>
          <w:sz w:val="24"/>
          <w:szCs w:val="24"/>
        </w:rPr>
        <w:t xml:space="preserve"> administracinį pastatą, esantį Šventaragio g. 2, Vilniuje. V</w:t>
      </w:r>
      <w:r w:rsidR="00210DB4" w:rsidRPr="00EB48B8">
        <w:rPr>
          <w:rFonts w:ascii="Times New Roman" w:eastAsia="Times New Roman" w:hAnsi="Times New Roman" w:cs="Times New Roman"/>
          <w:sz w:val="24"/>
          <w:szCs w:val="24"/>
        </w:rPr>
        <w:t>idaus reikalų ministerijos</w:t>
      </w:r>
      <w:r w:rsidR="75AC6703" w:rsidRPr="00EB48B8">
        <w:rPr>
          <w:rFonts w:ascii="Times New Roman" w:eastAsia="Times New Roman" w:hAnsi="Times New Roman" w:cs="Times New Roman"/>
          <w:sz w:val="24"/>
          <w:szCs w:val="24"/>
        </w:rPr>
        <w:t xml:space="preserve"> administracijos padalinių ir V</w:t>
      </w:r>
      <w:r w:rsidR="00210DB4" w:rsidRPr="00EB48B8">
        <w:rPr>
          <w:rFonts w:ascii="Times New Roman" w:eastAsia="Times New Roman" w:hAnsi="Times New Roman" w:cs="Times New Roman"/>
          <w:sz w:val="24"/>
          <w:szCs w:val="24"/>
        </w:rPr>
        <w:t xml:space="preserve">idaus reikalų </w:t>
      </w:r>
      <w:r w:rsidR="00210DB4" w:rsidRPr="00EB48B8">
        <w:rPr>
          <w:rFonts w:ascii="Times New Roman" w:eastAsia="Times New Roman" w:hAnsi="Times New Roman" w:cs="Times New Roman"/>
          <w:sz w:val="24"/>
          <w:szCs w:val="24"/>
        </w:rPr>
        <w:lastRenderedPageBreak/>
        <w:t>ministerijos</w:t>
      </w:r>
      <w:r w:rsidR="75AC6703" w:rsidRPr="00EB48B8">
        <w:rPr>
          <w:rFonts w:ascii="Times New Roman" w:eastAsia="Times New Roman" w:hAnsi="Times New Roman" w:cs="Times New Roman"/>
          <w:sz w:val="24"/>
          <w:szCs w:val="24"/>
        </w:rPr>
        <w:t xml:space="preserve"> ministro valdymo srityje veikiančių įstaigų darbuotojai laiku aprūpinti ilgalaikiais </w:t>
      </w:r>
      <w:r w:rsidR="6EF53576" w:rsidRPr="00EB48B8">
        <w:rPr>
          <w:rFonts w:ascii="Times New Roman" w:eastAsia="Times New Roman" w:hAnsi="Times New Roman" w:cs="Times New Roman"/>
          <w:sz w:val="24"/>
          <w:szCs w:val="24"/>
        </w:rPr>
        <w:t xml:space="preserve">ir </w:t>
      </w:r>
      <w:r w:rsidR="75AC6703" w:rsidRPr="00EB48B8">
        <w:rPr>
          <w:rFonts w:ascii="Times New Roman" w:eastAsia="Times New Roman" w:hAnsi="Times New Roman" w:cs="Times New Roman"/>
          <w:sz w:val="24"/>
          <w:szCs w:val="24"/>
        </w:rPr>
        <w:t>darbuotojo leidimais</w:t>
      </w:r>
      <w:r w:rsidR="30FF08B5" w:rsidRPr="00EB48B8">
        <w:rPr>
          <w:rFonts w:ascii="Times New Roman" w:eastAsia="Times New Roman" w:hAnsi="Times New Roman" w:cs="Times New Roman"/>
          <w:sz w:val="24"/>
          <w:szCs w:val="24"/>
        </w:rPr>
        <w:t xml:space="preserve"> </w:t>
      </w:r>
      <w:r w:rsidR="593A047E" w:rsidRPr="00EB48B8">
        <w:rPr>
          <w:rFonts w:ascii="Times New Roman" w:eastAsia="Times New Roman" w:hAnsi="Times New Roman" w:cs="Times New Roman"/>
          <w:sz w:val="24"/>
          <w:szCs w:val="24"/>
        </w:rPr>
        <w:t>(</w:t>
      </w:r>
      <w:r w:rsidR="0E73D572" w:rsidRPr="00EB48B8">
        <w:rPr>
          <w:rFonts w:ascii="Times New Roman" w:eastAsia="Times New Roman" w:hAnsi="Times New Roman" w:cs="Times New Roman"/>
          <w:sz w:val="24"/>
          <w:szCs w:val="24"/>
        </w:rPr>
        <w:t>kurių darbo vieta Šventaragio g. 2, Vilniuje</w:t>
      </w:r>
      <w:r w:rsidR="2F32765D" w:rsidRPr="00EB48B8">
        <w:rPr>
          <w:rFonts w:ascii="Times New Roman" w:eastAsia="Times New Roman" w:hAnsi="Times New Roman" w:cs="Times New Roman"/>
          <w:sz w:val="24"/>
          <w:szCs w:val="24"/>
        </w:rPr>
        <w:t>)</w:t>
      </w:r>
      <w:r w:rsidR="0E73D572" w:rsidRPr="00EB48B8">
        <w:rPr>
          <w:rFonts w:ascii="Times New Roman" w:eastAsia="Times New Roman" w:hAnsi="Times New Roman" w:cs="Times New Roman"/>
          <w:sz w:val="24"/>
          <w:szCs w:val="24"/>
        </w:rPr>
        <w:t xml:space="preserve">. </w:t>
      </w:r>
      <w:r w:rsidR="5183FB2F" w:rsidRPr="00EB48B8">
        <w:rPr>
          <w:rFonts w:ascii="Times New Roman" w:eastAsia="Times New Roman" w:hAnsi="Times New Roman" w:cs="Times New Roman"/>
          <w:sz w:val="24"/>
          <w:szCs w:val="24"/>
        </w:rPr>
        <w:t>V</w:t>
      </w:r>
      <w:r w:rsidR="75AC6703" w:rsidRPr="00EB48B8">
        <w:rPr>
          <w:rFonts w:ascii="Times New Roman" w:eastAsia="Times New Roman" w:hAnsi="Times New Roman" w:cs="Times New Roman"/>
          <w:sz w:val="24"/>
          <w:szCs w:val="24"/>
        </w:rPr>
        <w:t>ykdoma leidimų apskaita ir kontrolė.</w:t>
      </w:r>
      <w:r w:rsidR="30FF08B5" w:rsidRPr="00EB48B8">
        <w:rPr>
          <w:rFonts w:ascii="Times New Roman" w:eastAsia="Times New Roman" w:hAnsi="Times New Roman" w:cs="Times New Roman"/>
          <w:sz w:val="24"/>
          <w:szCs w:val="24"/>
        </w:rPr>
        <w:t xml:space="preserve"> </w:t>
      </w:r>
      <w:r w:rsidR="75AC6703" w:rsidRPr="00EB48B8">
        <w:rPr>
          <w:rFonts w:ascii="Times New Roman" w:eastAsia="Times New Roman" w:hAnsi="Times New Roman" w:cs="Times New Roman"/>
          <w:sz w:val="24"/>
          <w:szCs w:val="24"/>
        </w:rPr>
        <w:t>Užtikrintas V</w:t>
      </w:r>
      <w:r w:rsidR="00210DB4" w:rsidRPr="00EB48B8">
        <w:rPr>
          <w:rFonts w:ascii="Times New Roman" w:eastAsia="Times New Roman" w:hAnsi="Times New Roman" w:cs="Times New Roman"/>
          <w:sz w:val="24"/>
          <w:szCs w:val="24"/>
        </w:rPr>
        <w:t>idaus reikalų ministerijos</w:t>
      </w:r>
      <w:r w:rsidR="75AC6703" w:rsidRPr="00EB48B8">
        <w:rPr>
          <w:rFonts w:ascii="Times New Roman" w:eastAsia="Times New Roman" w:hAnsi="Times New Roman" w:cs="Times New Roman"/>
          <w:sz w:val="24"/>
          <w:szCs w:val="24"/>
        </w:rPr>
        <w:t xml:space="preserve"> ir jai pavaldžių įstaigų tarnybinių ir darbuotojų asmeninių automobilių, kuriems sutekti leidimai, pateikimas </w:t>
      </w:r>
      <w:r w:rsidR="34A9E693" w:rsidRPr="00EB48B8">
        <w:rPr>
          <w:rFonts w:ascii="Times New Roman" w:eastAsia="Times New Roman" w:hAnsi="Times New Roman" w:cs="Times New Roman"/>
          <w:sz w:val="24"/>
          <w:szCs w:val="24"/>
        </w:rPr>
        <w:t>į</w:t>
      </w:r>
      <w:r w:rsidR="00210DB4" w:rsidRPr="00EB48B8">
        <w:rPr>
          <w:rFonts w:ascii="Times New Roman" w:eastAsia="Times New Roman" w:hAnsi="Times New Roman" w:cs="Times New Roman"/>
          <w:sz w:val="24"/>
          <w:szCs w:val="24"/>
        </w:rPr>
        <w:t xml:space="preserve"> </w:t>
      </w:r>
      <w:r w:rsidR="75AC6703" w:rsidRPr="00EB48B8">
        <w:rPr>
          <w:rFonts w:ascii="Times New Roman" w:eastAsia="Times New Roman" w:hAnsi="Times New Roman" w:cs="Times New Roman"/>
          <w:sz w:val="24"/>
          <w:szCs w:val="24"/>
        </w:rPr>
        <w:t>V</w:t>
      </w:r>
      <w:r w:rsidR="00210DB4" w:rsidRPr="00EB48B8">
        <w:rPr>
          <w:rFonts w:ascii="Times New Roman" w:eastAsia="Times New Roman" w:hAnsi="Times New Roman" w:cs="Times New Roman"/>
          <w:sz w:val="24"/>
          <w:szCs w:val="24"/>
        </w:rPr>
        <w:t>idaus reikalų ministerijos</w:t>
      </w:r>
      <w:r w:rsidR="75AC6703" w:rsidRPr="00EB48B8">
        <w:rPr>
          <w:rFonts w:ascii="Times New Roman" w:eastAsia="Times New Roman" w:hAnsi="Times New Roman" w:cs="Times New Roman"/>
          <w:sz w:val="24"/>
          <w:szCs w:val="24"/>
        </w:rPr>
        <w:t xml:space="preserve"> vidinį kiemą, atliekamas automobilių registravimas</w:t>
      </w:r>
      <w:r w:rsidR="04848DBE" w:rsidRPr="00EB48B8">
        <w:rPr>
          <w:rFonts w:ascii="Times New Roman" w:eastAsia="Times New Roman" w:hAnsi="Times New Roman" w:cs="Times New Roman"/>
          <w:sz w:val="24"/>
          <w:szCs w:val="24"/>
        </w:rPr>
        <w:t xml:space="preserve"> ir kontrolė.</w:t>
      </w:r>
      <w:r w:rsidR="75AC6703" w:rsidRPr="00EB48B8">
        <w:rPr>
          <w:rFonts w:ascii="Times New Roman" w:eastAsia="Times New Roman" w:hAnsi="Times New Roman" w:cs="Times New Roman"/>
          <w:sz w:val="24"/>
          <w:szCs w:val="24"/>
        </w:rPr>
        <w:t xml:space="preserve"> </w:t>
      </w:r>
    </w:p>
    <w:p w14:paraId="26C6DE95" w14:textId="77777777" w:rsidR="00210DB4" w:rsidRPr="00EB48B8" w:rsidRDefault="22FCDF8D" w:rsidP="15B96231">
      <w:pPr>
        <w:spacing w:line="276" w:lineRule="auto"/>
        <w:ind w:firstLine="709"/>
        <w:jc w:val="both"/>
        <w:rPr>
          <w:rFonts w:ascii="Times New Roman" w:eastAsia="Times New Roman" w:hAnsi="Times New Roman" w:cs="Times New Roman"/>
          <w:sz w:val="24"/>
          <w:szCs w:val="24"/>
        </w:rPr>
      </w:pPr>
      <w:r w:rsidRPr="00EB48B8">
        <w:rPr>
          <w:rFonts w:ascii="Times New Roman" w:eastAsia="Times New Roman" w:hAnsi="Times New Roman" w:cs="Times New Roman"/>
          <w:sz w:val="24"/>
          <w:szCs w:val="24"/>
        </w:rPr>
        <w:t>V</w:t>
      </w:r>
      <w:r w:rsidR="00210DB4" w:rsidRPr="00EB48B8">
        <w:rPr>
          <w:rFonts w:ascii="Times New Roman" w:eastAsia="Times New Roman" w:hAnsi="Times New Roman" w:cs="Times New Roman"/>
          <w:sz w:val="24"/>
          <w:szCs w:val="24"/>
        </w:rPr>
        <w:t>idaus reikalų ministerijos</w:t>
      </w:r>
      <w:r w:rsidRPr="00EB48B8">
        <w:rPr>
          <w:rFonts w:ascii="Times New Roman" w:eastAsia="Times New Roman" w:hAnsi="Times New Roman" w:cs="Times New Roman"/>
          <w:sz w:val="24"/>
          <w:szCs w:val="24"/>
        </w:rPr>
        <w:t xml:space="preserve"> įeigos kontrolės sistemoje yra registruoti/aktyvuoti ir administruojami </w:t>
      </w:r>
      <w:r w:rsidR="32EB8672" w:rsidRPr="00EB48B8">
        <w:rPr>
          <w:rFonts w:ascii="Times New Roman" w:eastAsia="Times New Roman" w:hAnsi="Times New Roman" w:cs="Times New Roman"/>
          <w:sz w:val="24"/>
          <w:szCs w:val="24"/>
        </w:rPr>
        <w:t xml:space="preserve">1010 </w:t>
      </w:r>
      <w:r w:rsidRPr="00EB48B8">
        <w:rPr>
          <w:rFonts w:ascii="Times New Roman" w:eastAsia="Times New Roman" w:hAnsi="Times New Roman" w:cs="Times New Roman"/>
          <w:sz w:val="24"/>
          <w:szCs w:val="24"/>
        </w:rPr>
        <w:t>vartotojai (darbuotojų leidimai, valstybės tarnautojo pažymėjimai, kiti leidimai (</w:t>
      </w:r>
      <w:proofErr w:type="spellStart"/>
      <w:r w:rsidRPr="00EB48B8">
        <w:rPr>
          <w:rFonts w:ascii="Times New Roman" w:eastAsia="Times New Roman" w:hAnsi="Times New Roman" w:cs="Times New Roman"/>
          <w:sz w:val="24"/>
          <w:szCs w:val="24"/>
        </w:rPr>
        <w:t>atstuminė</w:t>
      </w:r>
      <w:proofErr w:type="spellEnd"/>
      <w:r w:rsidRPr="00EB48B8">
        <w:rPr>
          <w:rFonts w:ascii="Times New Roman" w:eastAsia="Times New Roman" w:hAnsi="Times New Roman" w:cs="Times New Roman"/>
          <w:sz w:val="24"/>
          <w:szCs w:val="24"/>
        </w:rPr>
        <w:t xml:space="preserve"> kortelė </w:t>
      </w:r>
      <w:proofErr w:type="spellStart"/>
      <w:r w:rsidRPr="00EB48B8">
        <w:rPr>
          <w:rFonts w:ascii="Times New Roman" w:eastAsia="Times New Roman" w:hAnsi="Times New Roman" w:cs="Times New Roman"/>
          <w:sz w:val="24"/>
          <w:szCs w:val="24"/>
        </w:rPr>
        <w:t>Mifare</w:t>
      </w:r>
      <w:proofErr w:type="spellEnd"/>
      <w:r w:rsidRPr="00EB48B8">
        <w:rPr>
          <w:rFonts w:ascii="Times New Roman" w:eastAsia="Times New Roman" w:hAnsi="Times New Roman" w:cs="Times New Roman"/>
          <w:sz w:val="24"/>
          <w:szCs w:val="24"/>
        </w:rPr>
        <w:t xml:space="preserve"> 4K). </w:t>
      </w:r>
    </w:p>
    <w:p w14:paraId="0C092EEC" w14:textId="2AA69FB6" w:rsidR="573366F9" w:rsidRPr="00EB48B8" w:rsidRDefault="22FCDF8D" w:rsidP="15B96231">
      <w:pPr>
        <w:spacing w:line="276" w:lineRule="auto"/>
        <w:ind w:firstLine="709"/>
        <w:jc w:val="both"/>
        <w:rPr>
          <w:rFonts w:ascii="Times New Roman" w:eastAsia="Times New Roman" w:hAnsi="Times New Roman" w:cs="Times New Roman"/>
          <w:sz w:val="24"/>
          <w:szCs w:val="24"/>
        </w:rPr>
      </w:pPr>
      <w:proofErr w:type="spellStart"/>
      <w:r w:rsidRPr="00EB48B8">
        <w:rPr>
          <w:rFonts w:ascii="Times New Roman" w:eastAsia="Times New Roman" w:hAnsi="Times New Roman" w:cs="Times New Roman"/>
          <w:sz w:val="24"/>
          <w:szCs w:val="24"/>
        </w:rPr>
        <w:t>Video</w:t>
      </w:r>
      <w:proofErr w:type="spellEnd"/>
      <w:r w:rsidRPr="00EB48B8">
        <w:rPr>
          <w:rFonts w:ascii="Times New Roman" w:eastAsia="Times New Roman" w:hAnsi="Times New Roman" w:cs="Times New Roman"/>
          <w:sz w:val="24"/>
          <w:szCs w:val="24"/>
        </w:rPr>
        <w:t xml:space="preserve"> saugos programoje/sistemoje registruoti </w:t>
      </w:r>
      <w:r w:rsidR="1D0A42CF" w:rsidRPr="00EB48B8">
        <w:rPr>
          <w:rFonts w:ascii="Times New Roman" w:eastAsia="Times New Roman" w:hAnsi="Times New Roman" w:cs="Times New Roman"/>
          <w:sz w:val="24"/>
          <w:szCs w:val="24"/>
        </w:rPr>
        <w:t>401</w:t>
      </w:r>
      <w:r w:rsidRPr="00EB48B8">
        <w:rPr>
          <w:rFonts w:ascii="Times New Roman" w:eastAsia="Times New Roman" w:hAnsi="Times New Roman" w:cs="Times New Roman"/>
          <w:sz w:val="24"/>
          <w:szCs w:val="24"/>
        </w:rPr>
        <w:t xml:space="preserve"> automobiliai (V</w:t>
      </w:r>
      <w:r w:rsidR="00210DB4" w:rsidRPr="00EB48B8">
        <w:rPr>
          <w:rFonts w:ascii="Times New Roman" w:eastAsia="Times New Roman" w:hAnsi="Times New Roman" w:cs="Times New Roman"/>
          <w:sz w:val="24"/>
          <w:szCs w:val="24"/>
        </w:rPr>
        <w:t>idaus reikalų ministerijos</w:t>
      </w:r>
      <w:r w:rsidRPr="00EB48B8">
        <w:rPr>
          <w:rFonts w:ascii="Times New Roman" w:eastAsia="Times New Roman" w:hAnsi="Times New Roman" w:cs="Times New Roman"/>
          <w:sz w:val="24"/>
          <w:szCs w:val="24"/>
        </w:rPr>
        <w:t xml:space="preserve"> ir įstaigų prie V</w:t>
      </w:r>
      <w:r w:rsidR="00210DB4" w:rsidRPr="00EB48B8">
        <w:rPr>
          <w:rFonts w:ascii="Times New Roman" w:eastAsia="Times New Roman" w:hAnsi="Times New Roman" w:cs="Times New Roman"/>
          <w:sz w:val="24"/>
          <w:szCs w:val="24"/>
        </w:rPr>
        <w:t>idaus reikalų ministerijos</w:t>
      </w:r>
      <w:r w:rsidRPr="00EB48B8">
        <w:rPr>
          <w:rFonts w:ascii="Times New Roman" w:eastAsia="Times New Roman" w:hAnsi="Times New Roman" w:cs="Times New Roman"/>
          <w:sz w:val="24"/>
          <w:szCs w:val="24"/>
        </w:rPr>
        <w:t xml:space="preserve"> tarnybiniai automobiliai, darbuotojų kurių darbo vieta Šventaragio g. 2, Vilnius, asmeninai</w:t>
      </w:r>
      <w:r w:rsidR="795D0A4E" w:rsidRPr="00EB48B8">
        <w:rPr>
          <w:rFonts w:ascii="Times New Roman" w:eastAsia="Times New Roman" w:hAnsi="Times New Roman" w:cs="Times New Roman"/>
          <w:sz w:val="24"/>
          <w:szCs w:val="24"/>
        </w:rPr>
        <w:t xml:space="preserve"> (kuriems suteiktas leidimas)</w:t>
      </w:r>
      <w:r w:rsidRPr="00EB48B8">
        <w:rPr>
          <w:rFonts w:ascii="Times New Roman" w:eastAsia="Times New Roman" w:hAnsi="Times New Roman" w:cs="Times New Roman"/>
          <w:sz w:val="24"/>
          <w:szCs w:val="24"/>
        </w:rPr>
        <w:t>, UAB su kuriomis sudarytos sutartys, aptarnavimo srityje, tarnybiniai automobiliai)</w:t>
      </w:r>
      <w:r w:rsidR="5E426792" w:rsidRPr="00EB48B8">
        <w:rPr>
          <w:rFonts w:ascii="Times New Roman" w:eastAsia="Times New Roman" w:hAnsi="Times New Roman" w:cs="Times New Roman"/>
          <w:sz w:val="24"/>
          <w:szCs w:val="24"/>
        </w:rPr>
        <w:t>)</w:t>
      </w:r>
      <w:r w:rsidRPr="00EB48B8">
        <w:rPr>
          <w:rFonts w:ascii="Times New Roman" w:eastAsia="Times New Roman" w:hAnsi="Times New Roman" w:cs="Times New Roman"/>
          <w:sz w:val="24"/>
          <w:szCs w:val="24"/>
        </w:rPr>
        <w:t>, galintys įvažiuoti ir parkuotis V</w:t>
      </w:r>
      <w:r w:rsidR="00210DB4" w:rsidRPr="00EB48B8">
        <w:rPr>
          <w:rFonts w:ascii="Times New Roman" w:eastAsia="Times New Roman" w:hAnsi="Times New Roman" w:cs="Times New Roman"/>
          <w:sz w:val="24"/>
          <w:szCs w:val="24"/>
        </w:rPr>
        <w:t>idaus reikalų ministerijos</w:t>
      </w:r>
      <w:r w:rsidRPr="00EB48B8">
        <w:rPr>
          <w:rFonts w:ascii="Times New Roman" w:eastAsia="Times New Roman" w:hAnsi="Times New Roman" w:cs="Times New Roman"/>
          <w:sz w:val="24"/>
          <w:szCs w:val="24"/>
        </w:rPr>
        <w:t xml:space="preserve"> vidiniame kieme.</w:t>
      </w:r>
    </w:p>
    <w:p w14:paraId="52B6EC70" w14:textId="31CF5078" w:rsidR="63939CDB" w:rsidRPr="00EB48B8" w:rsidRDefault="4AD2EAEF" w:rsidP="070233B9">
      <w:pPr>
        <w:spacing w:line="276" w:lineRule="auto"/>
        <w:ind w:firstLine="709"/>
        <w:jc w:val="both"/>
        <w:rPr>
          <w:rFonts w:ascii="Times New Roman" w:eastAsia="Times New Roman" w:hAnsi="Times New Roman" w:cs="Times New Roman"/>
          <w:sz w:val="24"/>
          <w:szCs w:val="24"/>
        </w:rPr>
      </w:pPr>
      <w:r w:rsidRPr="00EB48B8">
        <w:rPr>
          <w:rFonts w:ascii="Times New Roman" w:eastAsia="Times New Roman" w:hAnsi="Times New Roman" w:cs="Times New Roman"/>
          <w:sz w:val="24"/>
          <w:szCs w:val="24"/>
        </w:rPr>
        <w:t>Operatyviai reaguota į vaizdo stebėjimo, apsauginių signalizacijų, elektroninės saugos, įeigos kontrolės sistemų, priešgaisrinės signalizacijos sistemų, evakuacinės pranešimų sistemos techninius sutrikimus ir jų šalinimą, užtikrinta sistemų darbas, reaguota į pastato (ų) darbuotojų skundus ir pageidavimus.</w:t>
      </w:r>
    </w:p>
    <w:p w14:paraId="68D0C9CD" w14:textId="77777777" w:rsidR="00721459" w:rsidRPr="00EB48B8" w:rsidRDefault="00721459" w:rsidP="007A5062">
      <w:pPr>
        <w:spacing w:line="276" w:lineRule="auto"/>
        <w:jc w:val="both"/>
        <w:rPr>
          <w:rFonts w:ascii="Times New Roman" w:hAnsi="Times New Roman" w:cs="Times New Roman"/>
          <w:highlight w:val="yellow"/>
        </w:rPr>
      </w:pPr>
    </w:p>
    <w:p w14:paraId="2CDAB7FB" w14:textId="77777777" w:rsidR="00721459" w:rsidRPr="00EB48B8" w:rsidRDefault="00721459" w:rsidP="007A5062">
      <w:pPr>
        <w:spacing w:line="276" w:lineRule="auto"/>
        <w:ind w:firstLine="709"/>
        <w:jc w:val="center"/>
        <w:rPr>
          <w:rFonts w:ascii="Times New Roman" w:hAnsi="Times New Roman" w:cs="Times New Roman"/>
          <w:b/>
          <w:bCs/>
          <w:sz w:val="24"/>
          <w:szCs w:val="24"/>
        </w:rPr>
      </w:pPr>
      <w:r w:rsidRPr="00EB48B8">
        <w:rPr>
          <w:rFonts w:ascii="Times New Roman" w:hAnsi="Times New Roman" w:cs="Times New Roman"/>
          <w:b/>
          <w:bCs/>
          <w:sz w:val="24"/>
          <w:szCs w:val="24"/>
          <w:highlight w:val="lightGray"/>
        </w:rPr>
        <w:t>Aprūpinimas nematerialiuoju, ilgalaikiu ir trumpalaikiu materialiuoju turtu ir jo administravimas</w:t>
      </w:r>
    </w:p>
    <w:p w14:paraId="11914892" w14:textId="6C9D8AE9" w:rsidR="00721459" w:rsidRPr="00EB48B8" w:rsidRDefault="00721459" w:rsidP="00D14E56">
      <w:pPr>
        <w:spacing w:line="276" w:lineRule="auto"/>
        <w:jc w:val="both"/>
        <w:rPr>
          <w:rFonts w:ascii="Times New Roman" w:hAnsi="Times New Roman" w:cs="Times New Roman"/>
        </w:rPr>
      </w:pPr>
    </w:p>
    <w:p w14:paraId="127D9794" w14:textId="687CEA4A" w:rsidR="43E2466C" w:rsidRPr="00EB48B8" w:rsidRDefault="56825CE2" w:rsidP="007A5062">
      <w:pPr>
        <w:spacing w:line="276" w:lineRule="auto"/>
        <w:ind w:firstLine="709"/>
        <w:jc w:val="both"/>
        <w:rPr>
          <w:rFonts w:ascii="Times New Roman" w:hAnsi="Times New Roman" w:cs="Times New Roman"/>
          <w:sz w:val="24"/>
          <w:szCs w:val="24"/>
        </w:rPr>
      </w:pPr>
      <w:r w:rsidRPr="00EB48B8">
        <w:rPr>
          <w:rFonts w:ascii="Times New Roman" w:hAnsi="Times New Roman" w:cs="Times New Roman"/>
          <w:sz w:val="24"/>
          <w:szCs w:val="24"/>
        </w:rPr>
        <w:t>A</w:t>
      </w:r>
      <w:r w:rsidR="25C6AC8C" w:rsidRPr="00EB48B8">
        <w:rPr>
          <w:rFonts w:ascii="Times New Roman" w:hAnsi="Times New Roman" w:cs="Times New Roman"/>
          <w:sz w:val="24"/>
          <w:szCs w:val="24"/>
        </w:rPr>
        <w:t>gentūra</w:t>
      </w:r>
      <w:r w:rsidR="644A5C36" w:rsidRPr="00EB48B8">
        <w:rPr>
          <w:rFonts w:ascii="Times New Roman" w:hAnsi="Times New Roman" w:cs="Times New Roman"/>
          <w:sz w:val="24"/>
          <w:szCs w:val="24"/>
        </w:rPr>
        <w:t xml:space="preserve"> vykdydama </w:t>
      </w:r>
      <w:r w:rsidR="009B52E7" w:rsidRPr="00EB48B8">
        <w:rPr>
          <w:rFonts w:ascii="Times New Roman" w:eastAsia="Times New Roman" w:hAnsi="Times New Roman" w:cs="Times New Roman"/>
          <w:sz w:val="24"/>
          <w:szCs w:val="24"/>
        </w:rPr>
        <w:t>V</w:t>
      </w:r>
      <w:r w:rsidR="54143D96" w:rsidRPr="00EB48B8">
        <w:rPr>
          <w:rFonts w:ascii="Times New Roman" w:eastAsia="Times New Roman" w:hAnsi="Times New Roman" w:cs="Times New Roman"/>
          <w:sz w:val="24"/>
          <w:szCs w:val="24"/>
        </w:rPr>
        <w:t>idaus reikalų ministrui pavestų valdymo sričių strateginio veiklos plano programų tikslų, uždavinių ir priemonių įgyvendinimą</w:t>
      </w:r>
      <w:r w:rsidR="18C26351" w:rsidRPr="00EB48B8">
        <w:rPr>
          <w:rFonts w:ascii="Times New Roman" w:eastAsia="Times New Roman" w:hAnsi="Times New Roman" w:cs="Times New Roman"/>
          <w:sz w:val="24"/>
          <w:szCs w:val="24"/>
        </w:rPr>
        <w:t>,</w:t>
      </w:r>
      <w:r w:rsidR="54143D96" w:rsidRPr="00EB48B8">
        <w:rPr>
          <w:rFonts w:ascii="Times New Roman" w:eastAsia="Times New Roman" w:hAnsi="Times New Roman" w:cs="Times New Roman"/>
          <w:sz w:val="24"/>
          <w:szCs w:val="24"/>
        </w:rPr>
        <w:t xml:space="preserve"> administravo priskirtą Vidaus reikalų ministerijos ir jos finansuojamų padalinių ūkį ir vedė turto apskaitą</w:t>
      </w:r>
      <w:r w:rsidR="644A5C36" w:rsidRPr="00EB48B8">
        <w:rPr>
          <w:rFonts w:ascii="Times New Roman" w:hAnsi="Times New Roman" w:cs="Times New Roman"/>
          <w:sz w:val="24"/>
          <w:szCs w:val="24"/>
        </w:rPr>
        <w:t>, užtikrino Vidaus reikalų ministerijos ir valdymo srities įstaigų, finansuojamų iš Vidaus reikalų ministerijai skirtų valstybės biudžeto asignavimų, aprūpinimą nematerialiuoju, ilgalaikiu ir trumpalaikiu materialiuoju turtu bei atsižvelgdama į panaudos sutartyse nustatytą apimtį, administravimo įgyvendinimą, vykdė susijusias funkcijas.</w:t>
      </w:r>
    </w:p>
    <w:p w14:paraId="73CE121D" w14:textId="48356D01" w:rsidR="43E2466C" w:rsidRPr="00EB48B8" w:rsidRDefault="644A5C36" w:rsidP="070233B9">
      <w:pPr>
        <w:spacing w:line="276" w:lineRule="auto"/>
        <w:ind w:firstLine="709"/>
        <w:jc w:val="both"/>
        <w:rPr>
          <w:sz w:val="24"/>
          <w:szCs w:val="24"/>
        </w:rPr>
      </w:pPr>
      <w:r w:rsidRPr="00EB48B8">
        <w:rPr>
          <w:rFonts w:ascii="Times New Roman" w:hAnsi="Times New Roman" w:cs="Times New Roman"/>
          <w:sz w:val="24"/>
          <w:szCs w:val="24"/>
        </w:rPr>
        <w:t xml:space="preserve">Ataskaitiniu laikotarpiu vykdytas Vidaus reikalų ministerijos administracijos padalinių ir valdymo srities įstaigų aprūpinimas ilgalaikiu ir trumpalaikiu materialiuoju ir nematerialiuoju turtu pagal šiam tikslui skirtus asignavimus. </w:t>
      </w:r>
    </w:p>
    <w:p w14:paraId="3535A57B" w14:textId="5B363F05" w:rsidR="15E6F73E" w:rsidRPr="00EB48B8" w:rsidRDefault="07F96B3F" w:rsidP="070233B9">
      <w:pPr>
        <w:spacing w:line="276" w:lineRule="auto"/>
        <w:ind w:firstLine="709"/>
        <w:jc w:val="both"/>
        <w:rPr>
          <w:rFonts w:ascii="Times New Roman" w:hAnsi="Times New Roman" w:cs="Times New Roman"/>
          <w:sz w:val="24"/>
          <w:szCs w:val="24"/>
        </w:rPr>
      </w:pPr>
      <w:r w:rsidRPr="00EB48B8">
        <w:rPr>
          <w:rFonts w:ascii="Times New Roman" w:hAnsi="Times New Roman" w:cs="Times New Roman"/>
          <w:sz w:val="24"/>
          <w:szCs w:val="24"/>
        </w:rPr>
        <w:t xml:space="preserve">Siekiant tobulinti veiklą, atnaujinti technologiškai pasenusią įrangą, sistemas buvo atlikta planuojamo įsigyti nematerialiojo ir materialiojo ilgalaikio turto poreikio analizė, parengtos turto pirkimo užduotys, įvykdytos ir sukontroliuotos pirkimo sutartys. </w:t>
      </w:r>
      <w:r w:rsidR="56825CE2" w:rsidRPr="00EB48B8">
        <w:rPr>
          <w:rFonts w:ascii="Times New Roman" w:hAnsi="Times New Roman" w:cs="Times New Roman"/>
          <w:sz w:val="24"/>
          <w:szCs w:val="24"/>
        </w:rPr>
        <w:t xml:space="preserve">2025 </w:t>
      </w:r>
      <w:r w:rsidR="644A5C36" w:rsidRPr="00EB48B8">
        <w:rPr>
          <w:rFonts w:ascii="Times New Roman" w:hAnsi="Times New Roman" w:cs="Times New Roman"/>
          <w:sz w:val="24"/>
          <w:szCs w:val="24"/>
        </w:rPr>
        <w:t xml:space="preserve">m. įsigytas ir perduotas nematerialusis ir materialusis ilgalaikis turtas Vidaus reikalų ministerijos padalinių ir valdymo srities įstaigų veiklai užtikrinti. </w:t>
      </w:r>
    </w:p>
    <w:p w14:paraId="68FDB0AD" w14:textId="4912A70C" w:rsidR="717B8571" w:rsidRPr="00EB48B8" w:rsidRDefault="717B8571" w:rsidP="070233B9">
      <w:pPr>
        <w:spacing w:line="276" w:lineRule="auto"/>
        <w:ind w:firstLine="709"/>
        <w:jc w:val="both"/>
        <w:rPr>
          <w:rFonts w:ascii="Times New Roman" w:hAnsi="Times New Roman" w:cs="Times New Roman"/>
          <w:sz w:val="24"/>
          <w:szCs w:val="24"/>
        </w:rPr>
      </w:pPr>
      <w:r w:rsidRPr="00EB48B8">
        <w:rPr>
          <w:rFonts w:ascii="Times New Roman" w:hAnsi="Times New Roman" w:cs="Times New Roman"/>
          <w:sz w:val="24"/>
          <w:szCs w:val="24"/>
        </w:rPr>
        <w:t>Konsoliduojant išteklius, siekiant efektyviai ir racionaliai paskirstyti valstybės lėšas bei užtikrinti optimalų ilgalaikio materialiojo turto administravimą atsižvelgiant į naudojamų kompiuterių būklę, jų komplektaciją, techninį, programinį tarnavimo laiką buvo V</w:t>
      </w:r>
      <w:r w:rsidR="009B52E7" w:rsidRPr="00EB48B8">
        <w:rPr>
          <w:rFonts w:ascii="Times New Roman" w:hAnsi="Times New Roman" w:cs="Times New Roman"/>
          <w:sz w:val="24"/>
          <w:szCs w:val="24"/>
        </w:rPr>
        <w:t>idaus reikalų ministerijos</w:t>
      </w:r>
      <w:r w:rsidRPr="00EB48B8">
        <w:rPr>
          <w:rFonts w:ascii="Times New Roman" w:hAnsi="Times New Roman" w:cs="Times New Roman"/>
          <w:sz w:val="24"/>
          <w:szCs w:val="24"/>
        </w:rPr>
        <w:t xml:space="preserve"> padaliniams atnaujinta kompiuterinė įranga, įsigyti mobilūs telefonai, kompiuteriai su periferine įranga (suma – 5554 Eur), įsigytas ir perduotas M</w:t>
      </w:r>
      <w:r w:rsidR="003C4404" w:rsidRPr="00EB48B8">
        <w:rPr>
          <w:rFonts w:ascii="Times New Roman" w:hAnsi="Times New Roman" w:cs="Times New Roman"/>
          <w:sz w:val="24"/>
          <w:szCs w:val="24"/>
        </w:rPr>
        <w:t xml:space="preserve">igracijos departamentui </w:t>
      </w:r>
      <w:r w:rsidRPr="00EB48B8">
        <w:rPr>
          <w:rFonts w:ascii="Times New Roman" w:hAnsi="Times New Roman" w:cs="Times New Roman"/>
          <w:sz w:val="24"/>
          <w:szCs w:val="24"/>
        </w:rPr>
        <w:t xml:space="preserve">dokumentų naikinimo aparatas (suma – 2299 Eur), įsigytas plastikinių kortelių dvipusis spausdintuvas (suma – 1766,60 Eur), įvykdyti nematerialaus turto: licencijų, sertifikatų, programinės įrangos pirkimai/atnaujinimai. </w:t>
      </w:r>
    </w:p>
    <w:p w14:paraId="389E26D0" w14:textId="11AD8B99" w:rsidR="717B8571" w:rsidRPr="00EB48B8" w:rsidRDefault="717B8571" w:rsidP="070233B9">
      <w:pPr>
        <w:spacing w:line="276" w:lineRule="auto"/>
        <w:ind w:firstLine="709"/>
        <w:jc w:val="both"/>
      </w:pPr>
      <w:r w:rsidRPr="00EB48B8">
        <w:rPr>
          <w:rFonts w:ascii="Times New Roman" w:hAnsi="Times New Roman" w:cs="Times New Roman"/>
          <w:sz w:val="24"/>
          <w:szCs w:val="24"/>
        </w:rPr>
        <w:lastRenderedPageBreak/>
        <w:t>Užtikrinant darbuotojams saugias higienos normas atitinkančias darbo sąlygas kabinetuose, įsigyti ir įrengti nauji oro kondicionavimo sistemos komplektai (suma</w:t>
      </w:r>
      <w:r w:rsidR="4DE422B5" w:rsidRPr="00EB48B8">
        <w:rPr>
          <w:rFonts w:ascii="Times New Roman" w:hAnsi="Times New Roman" w:cs="Times New Roman"/>
          <w:sz w:val="24"/>
          <w:szCs w:val="24"/>
        </w:rPr>
        <w:t xml:space="preserve"> </w:t>
      </w:r>
      <w:r w:rsidRPr="00EB48B8">
        <w:rPr>
          <w:rFonts w:ascii="Times New Roman" w:hAnsi="Times New Roman" w:cs="Times New Roman"/>
          <w:sz w:val="24"/>
          <w:szCs w:val="24"/>
        </w:rPr>
        <w:t>– 12065 Eur), kurie sumontuoti V</w:t>
      </w:r>
      <w:r w:rsidR="00335A71" w:rsidRPr="00EB48B8">
        <w:rPr>
          <w:rFonts w:ascii="Times New Roman" w:hAnsi="Times New Roman" w:cs="Times New Roman"/>
          <w:sz w:val="24"/>
          <w:szCs w:val="24"/>
        </w:rPr>
        <w:t>idaus reikalų ministerijos</w:t>
      </w:r>
      <w:r w:rsidRPr="00EB48B8">
        <w:rPr>
          <w:rFonts w:ascii="Times New Roman" w:hAnsi="Times New Roman" w:cs="Times New Roman"/>
          <w:sz w:val="24"/>
          <w:szCs w:val="24"/>
        </w:rPr>
        <w:t xml:space="preserve">, </w:t>
      </w:r>
      <w:r w:rsidR="00335A71" w:rsidRPr="00EB48B8">
        <w:rPr>
          <w:rFonts w:ascii="Times New Roman" w:hAnsi="Times New Roman" w:cs="Times New Roman"/>
          <w:sz w:val="24"/>
          <w:szCs w:val="24"/>
        </w:rPr>
        <w:t>Migracijos departamento</w:t>
      </w:r>
      <w:r w:rsidRPr="00EB48B8">
        <w:rPr>
          <w:rFonts w:ascii="Times New Roman" w:hAnsi="Times New Roman" w:cs="Times New Roman"/>
          <w:sz w:val="24"/>
          <w:szCs w:val="24"/>
        </w:rPr>
        <w:t>,</w:t>
      </w:r>
      <w:r w:rsidR="00A73A7E" w:rsidRPr="00EB48B8">
        <w:rPr>
          <w:rFonts w:ascii="Times New Roman" w:hAnsi="Times New Roman" w:cs="Times New Roman"/>
          <w:sz w:val="24"/>
          <w:szCs w:val="24"/>
        </w:rPr>
        <w:t xml:space="preserve"> Lietuvos Respublikos vidaus reikalų ministerijos</w:t>
      </w:r>
      <w:r w:rsidRPr="00EB48B8">
        <w:rPr>
          <w:rFonts w:ascii="Times New Roman" w:hAnsi="Times New Roman" w:cs="Times New Roman"/>
          <w:sz w:val="24"/>
          <w:szCs w:val="24"/>
        </w:rPr>
        <w:t xml:space="preserve"> Medicinos centro patalpose</w:t>
      </w:r>
      <w:r w:rsidR="00D76AEC" w:rsidRPr="00EB48B8">
        <w:rPr>
          <w:rFonts w:ascii="Times New Roman" w:hAnsi="Times New Roman" w:cs="Times New Roman"/>
          <w:sz w:val="24"/>
          <w:szCs w:val="24"/>
        </w:rPr>
        <w:t xml:space="preserve"> (toliau – Medicinos centras)</w:t>
      </w:r>
      <w:r w:rsidRPr="00EB48B8">
        <w:rPr>
          <w:rFonts w:ascii="Times New Roman" w:hAnsi="Times New Roman" w:cs="Times New Roman"/>
          <w:sz w:val="24"/>
          <w:szCs w:val="24"/>
        </w:rPr>
        <w:t>.</w:t>
      </w:r>
    </w:p>
    <w:p w14:paraId="277E8335" w14:textId="5BFD35D9" w:rsidR="717B8571" w:rsidRPr="00EB48B8" w:rsidRDefault="717B8571" w:rsidP="070233B9">
      <w:pPr>
        <w:spacing w:line="276" w:lineRule="auto"/>
        <w:ind w:firstLine="709"/>
        <w:jc w:val="both"/>
      </w:pPr>
      <w:r w:rsidRPr="00EB48B8">
        <w:rPr>
          <w:rFonts w:ascii="Times New Roman" w:hAnsi="Times New Roman" w:cs="Times New Roman"/>
          <w:sz w:val="24"/>
          <w:szCs w:val="24"/>
        </w:rPr>
        <w:t>Siekiant užtikrinti Agentūros pastato, Linkmenų g. 26, Vilniuje, priskirtino padidinto saugumo zonai, apsaugą, įsigytas vaizdo stebėjimo kamerų, vaizdo įrašymo įrenginys (suma – 1393 Eur) atitinkantis saugumo reikalavimus. Taip pat modernizuota/atnaujinta vaizdo stebėjimo sistema, autotransporto patekimo į V</w:t>
      </w:r>
      <w:r w:rsidR="00F600C7" w:rsidRPr="00EB48B8">
        <w:rPr>
          <w:rFonts w:ascii="Times New Roman" w:hAnsi="Times New Roman" w:cs="Times New Roman"/>
          <w:sz w:val="24"/>
          <w:szCs w:val="24"/>
        </w:rPr>
        <w:t>idaus reikalų ministerijos</w:t>
      </w:r>
      <w:r w:rsidRPr="00EB48B8">
        <w:rPr>
          <w:rFonts w:ascii="Times New Roman" w:hAnsi="Times New Roman" w:cs="Times New Roman"/>
          <w:sz w:val="24"/>
          <w:szCs w:val="24"/>
        </w:rPr>
        <w:t xml:space="preserve"> teritoriją, Šventaragio g. 2 , Vilnius (suma – 1933 Eur). </w:t>
      </w:r>
    </w:p>
    <w:p w14:paraId="5BD48DA9" w14:textId="541245E0" w:rsidR="717B8571" w:rsidRPr="00EB48B8" w:rsidRDefault="717B8571" w:rsidP="070233B9">
      <w:pPr>
        <w:spacing w:line="276" w:lineRule="auto"/>
        <w:ind w:firstLine="709"/>
        <w:jc w:val="both"/>
      </w:pPr>
      <w:r w:rsidRPr="00EB48B8">
        <w:rPr>
          <w:rFonts w:ascii="Times New Roman" w:hAnsi="Times New Roman" w:cs="Times New Roman"/>
          <w:sz w:val="24"/>
          <w:szCs w:val="24"/>
        </w:rPr>
        <w:t>Įgyvendinant veiklos tobulinimo priemones įdiegta prekių ir paslaugų užsakymų valdymo sistema (UVS), kuri optimizavo, palengvino užsakomų prekių, paslaugų procesų vykdymą, valdymą, apskaitą, koordinavimą, kontrolę. Bendradarbiaujant su UAB DS projektai vykdomas turto valdymo sistemos (MIVS) palaikymas ir tobulinimas.</w:t>
      </w:r>
    </w:p>
    <w:p w14:paraId="4EAF8EB7" w14:textId="74EAD9CF" w:rsidR="717B8571" w:rsidRDefault="717B8571" w:rsidP="070233B9">
      <w:pPr>
        <w:spacing w:line="276" w:lineRule="auto"/>
        <w:ind w:firstLine="709"/>
        <w:jc w:val="both"/>
      </w:pPr>
      <w:r w:rsidRPr="00EB48B8">
        <w:rPr>
          <w:rFonts w:ascii="Times New Roman" w:hAnsi="Times New Roman" w:cs="Times New Roman"/>
          <w:sz w:val="24"/>
          <w:szCs w:val="24"/>
        </w:rPr>
        <w:t xml:space="preserve">Pagal </w:t>
      </w:r>
      <w:r w:rsidR="00A61247" w:rsidRPr="00EB48B8">
        <w:rPr>
          <w:rFonts w:ascii="Times New Roman" w:hAnsi="Times New Roman" w:cs="Times New Roman"/>
          <w:sz w:val="24"/>
          <w:szCs w:val="24"/>
        </w:rPr>
        <w:t>IRD</w:t>
      </w:r>
      <w:r w:rsidR="08EF0336" w:rsidRPr="00EB48B8">
        <w:rPr>
          <w:rFonts w:ascii="Times New Roman" w:hAnsi="Times New Roman" w:cs="Times New Roman"/>
          <w:sz w:val="24"/>
          <w:szCs w:val="24"/>
        </w:rPr>
        <w:t xml:space="preserve"> </w:t>
      </w:r>
      <w:r w:rsidRPr="00EB48B8">
        <w:rPr>
          <w:rFonts w:ascii="Times New Roman" w:hAnsi="Times New Roman" w:cs="Times New Roman"/>
          <w:sz w:val="24"/>
          <w:szCs w:val="24"/>
        </w:rPr>
        <w:t xml:space="preserve">parengtą valstybės investicijų projektą ,,Įtariamųjų, kaltinamųjų ir nuteistųjų registro integravimas su centralizuota valstybių narių, turinčių informacijos apie trečiųjų šalių piliečių apkaltinamuosius nuosprendžius, nustatymo sistema (ECRIS-TCN)“ priemonės kodas (07-016-11-01-07, buvęs kodas 01-01-06), įgyvendinama registro integracija su ECRIS-TCN sistema ir priemonė duomenų įrašų apie apkaltinamuosius nuosprendžius, priimtus iki duomenų įvedimo pradžios datos į ECRIS-TCN, parengimui pagal techninės specifikacijos reikalavimus, už diegimo etapo vykdymą atsiskaityta su teikėju UAB </w:t>
      </w:r>
      <w:proofErr w:type="spellStart"/>
      <w:r w:rsidRPr="00EB48B8">
        <w:rPr>
          <w:rFonts w:ascii="Times New Roman" w:hAnsi="Times New Roman" w:cs="Times New Roman"/>
          <w:sz w:val="24"/>
          <w:szCs w:val="24"/>
        </w:rPr>
        <w:t>iTree</w:t>
      </w:r>
      <w:proofErr w:type="spellEnd"/>
      <w:r w:rsidRPr="00EB48B8">
        <w:rPr>
          <w:rFonts w:ascii="Times New Roman" w:hAnsi="Times New Roman" w:cs="Times New Roman"/>
          <w:sz w:val="24"/>
          <w:szCs w:val="24"/>
        </w:rPr>
        <w:t xml:space="preserve"> Lietuva, bendra </w:t>
      </w:r>
      <w:r w:rsidRPr="070233B9">
        <w:rPr>
          <w:rFonts w:ascii="Times New Roman" w:hAnsi="Times New Roman" w:cs="Times New Roman"/>
          <w:sz w:val="24"/>
          <w:szCs w:val="24"/>
        </w:rPr>
        <w:t xml:space="preserve">vertė </w:t>
      </w:r>
      <w:r w:rsidR="00214250">
        <w:rPr>
          <w:rFonts w:ascii="Times New Roman" w:hAnsi="Times New Roman" w:cs="Times New Roman"/>
          <w:sz w:val="24"/>
          <w:szCs w:val="24"/>
        </w:rPr>
        <w:t xml:space="preserve">– </w:t>
      </w:r>
      <w:r w:rsidRPr="070233B9">
        <w:rPr>
          <w:rFonts w:ascii="Times New Roman" w:hAnsi="Times New Roman" w:cs="Times New Roman"/>
          <w:sz w:val="24"/>
          <w:szCs w:val="24"/>
        </w:rPr>
        <w:t>247729,94 Eur, įskaitant PVM (vadovaujantis 2021 m. gruodžio 27 d. sutartimi Nr. 8S-313 (aktuali</w:t>
      </w:r>
      <w:r w:rsidR="22736086" w:rsidRPr="070233B9">
        <w:rPr>
          <w:rFonts w:ascii="Times New Roman" w:hAnsi="Times New Roman" w:cs="Times New Roman"/>
          <w:sz w:val="24"/>
          <w:szCs w:val="24"/>
        </w:rPr>
        <w:t>a</w:t>
      </w:r>
      <w:r w:rsidRPr="070233B9">
        <w:rPr>
          <w:rFonts w:ascii="Times New Roman" w:hAnsi="Times New Roman" w:cs="Times New Roman"/>
          <w:sz w:val="24"/>
          <w:szCs w:val="24"/>
        </w:rPr>
        <w:t xml:space="preserve"> redakcija)).</w:t>
      </w:r>
    </w:p>
    <w:p w14:paraId="0A51F5AD" w14:textId="01E09509" w:rsidR="717B8571" w:rsidRDefault="717B8571" w:rsidP="070233B9">
      <w:pPr>
        <w:spacing w:line="276" w:lineRule="auto"/>
        <w:ind w:firstLine="709"/>
        <w:jc w:val="both"/>
      </w:pPr>
      <w:r w:rsidRPr="070233B9">
        <w:rPr>
          <w:rFonts w:ascii="Times New Roman" w:hAnsi="Times New Roman" w:cs="Times New Roman"/>
          <w:sz w:val="24"/>
          <w:szCs w:val="24"/>
        </w:rPr>
        <w:t xml:space="preserve">Agentūra pagal 01-001 programos „Vidaus reikalų ministrui pavestų valdymo sričių politikos formavimas ir vidaus reikalų infrastruktūros bei paslaugų valdymas“ priemonę „Aprūpinti Vidaus reikalų ministerijos Medicinos centrą medicinine įranga ir priemonėmis pareigūnų sveikatos priežiūrai užtikrinti“ (priemonės kodas 12-01-02) vykdė Medicinos centro viešųjų pirkimų procedūras pagal pateiktas pirkimo užduotis (aukštos klasės ultragarso aparatas (Echoskopas) – UAB </w:t>
      </w:r>
      <w:proofErr w:type="spellStart"/>
      <w:r w:rsidRPr="070233B9">
        <w:rPr>
          <w:rFonts w:ascii="Times New Roman" w:hAnsi="Times New Roman" w:cs="Times New Roman"/>
          <w:sz w:val="24"/>
          <w:szCs w:val="24"/>
        </w:rPr>
        <w:t>Tradintek</w:t>
      </w:r>
      <w:proofErr w:type="spellEnd"/>
      <w:r w:rsidRPr="070233B9">
        <w:rPr>
          <w:rFonts w:ascii="Times New Roman" w:hAnsi="Times New Roman" w:cs="Times New Roman"/>
          <w:sz w:val="24"/>
          <w:szCs w:val="24"/>
        </w:rPr>
        <w:t xml:space="preserve">, sutarties vertė – 77440 Eur), parengė sutarčių projektus, perdavė įsigytą turtą. </w:t>
      </w:r>
    </w:p>
    <w:p w14:paraId="0ADFE155" w14:textId="624CAE0D" w:rsidR="00721459" w:rsidRDefault="717B8571" w:rsidP="070233B9">
      <w:pPr>
        <w:spacing w:line="276" w:lineRule="auto"/>
        <w:ind w:firstLine="709"/>
        <w:jc w:val="both"/>
        <w:rPr>
          <w:rFonts w:ascii="Times New Roman" w:hAnsi="Times New Roman" w:cs="Times New Roman"/>
          <w:sz w:val="24"/>
          <w:szCs w:val="24"/>
        </w:rPr>
      </w:pPr>
      <w:r w:rsidRPr="070233B9">
        <w:rPr>
          <w:rFonts w:ascii="Times New Roman" w:hAnsi="Times New Roman" w:cs="Times New Roman"/>
          <w:sz w:val="24"/>
          <w:szCs w:val="24"/>
        </w:rPr>
        <w:t xml:space="preserve">Dėl valstybei nuosavybės teise priklausančio ir Agentūros patikėjimo teise valdomo, naudojamo ir disponuojamo ilgalaikio materialiojo turto, pripažinto nereikalingu arba netinkamu (negalimu) naudoti buvo organizuoti ir </w:t>
      </w:r>
      <w:r w:rsidR="20780DA4" w:rsidRPr="070233B9">
        <w:rPr>
          <w:rFonts w:ascii="Times New Roman" w:hAnsi="Times New Roman" w:cs="Times New Roman"/>
          <w:sz w:val="24"/>
          <w:szCs w:val="24"/>
        </w:rPr>
        <w:t>vykdomi</w:t>
      </w:r>
      <w:r w:rsidRPr="070233B9">
        <w:rPr>
          <w:rFonts w:ascii="Times New Roman" w:hAnsi="Times New Roman" w:cs="Times New Roman"/>
          <w:sz w:val="24"/>
          <w:szCs w:val="24"/>
        </w:rPr>
        <w:t xml:space="preserve"> viešųjų prekių aukcionai (trys etapai). Gautos pajamos (8269 Eur) už parduotą turtą pervestos į valstybės biudžetą.</w:t>
      </w:r>
    </w:p>
    <w:p w14:paraId="32BE04E3" w14:textId="77777777" w:rsidR="00214250" w:rsidRPr="00635295" w:rsidRDefault="00214250" w:rsidP="070233B9">
      <w:pPr>
        <w:spacing w:line="276" w:lineRule="auto"/>
        <w:ind w:firstLine="709"/>
        <w:jc w:val="both"/>
        <w:rPr>
          <w:rFonts w:ascii="Times New Roman" w:hAnsi="Times New Roman" w:cs="Times New Roman"/>
        </w:rPr>
      </w:pPr>
    </w:p>
    <w:p w14:paraId="49D4203E" w14:textId="77777777" w:rsidR="00721459" w:rsidRPr="003F008C" w:rsidRDefault="00721459" w:rsidP="007A5062">
      <w:pPr>
        <w:spacing w:line="276" w:lineRule="auto"/>
        <w:ind w:firstLine="709"/>
        <w:jc w:val="center"/>
        <w:rPr>
          <w:rFonts w:ascii="Times New Roman" w:hAnsi="Times New Roman" w:cs="Times New Roman"/>
          <w:b/>
          <w:bCs/>
          <w:sz w:val="24"/>
          <w:szCs w:val="24"/>
        </w:rPr>
      </w:pPr>
      <w:bookmarkStart w:id="0" w:name="_Hlk158110914"/>
      <w:r w:rsidRPr="003F008C">
        <w:rPr>
          <w:rFonts w:ascii="Times New Roman" w:hAnsi="Times New Roman" w:cs="Times New Roman"/>
          <w:b/>
          <w:bCs/>
          <w:sz w:val="24"/>
          <w:szCs w:val="24"/>
          <w:highlight w:val="lightGray"/>
        </w:rPr>
        <w:t>Aprūpinimas ginklais</w:t>
      </w:r>
    </w:p>
    <w:p w14:paraId="1122DC6F" w14:textId="77777777" w:rsidR="00B55A5D" w:rsidRPr="00635295" w:rsidRDefault="00B55A5D" w:rsidP="007A5062">
      <w:pPr>
        <w:spacing w:line="276" w:lineRule="auto"/>
        <w:ind w:firstLine="709"/>
        <w:jc w:val="center"/>
        <w:rPr>
          <w:rFonts w:ascii="Times New Roman" w:hAnsi="Times New Roman" w:cs="Times New Roman"/>
          <w:b/>
          <w:bCs/>
        </w:rPr>
      </w:pPr>
    </w:p>
    <w:bookmarkEnd w:id="0"/>
    <w:p w14:paraId="3B3162EC" w14:textId="17FDBA75" w:rsidR="00B55A5D" w:rsidRPr="00232659" w:rsidRDefault="1D0258A8">
      <w:pPr>
        <w:spacing w:line="276" w:lineRule="auto"/>
        <w:ind w:firstLine="709"/>
        <w:jc w:val="both"/>
        <w:rPr>
          <w:rFonts w:ascii="Times New Roman" w:hAnsi="Times New Roman" w:cs="Times New Roman"/>
          <w:sz w:val="24"/>
          <w:szCs w:val="24"/>
        </w:rPr>
      </w:pPr>
      <w:r w:rsidRPr="070233B9">
        <w:rPr>
          <w:rFonts w:ascii="Times New Roman" w:hAnsi="Times New Roman" w:cs="Times New Roman"/>
          <w:sz w:val="24"/>
          <w:szCs w:val="24"/>
        </w:rPr>
        <w:t>Agentūra</w:t>
      </w:r>
      <w:r w:rsidR="3CE301A9" w:rsidRPr="070233B9">
        <w:rPr>
          <w:rFonts w:ascii="Times New Roman" w:hAnsi="Times New Roman" w:cs="Times New Roman"/>
          <w:sz w:val="24"/>
          <w:szCs w:val="24"/>
        </w:rPr>
        <w:t>, atlikdama pavestas funkcijas, numatytas Lietuvos Respublikos ginklų ir šaudmenų kontrolės įstatymo 45</w:t>
      </w:r>
      <w:r w:rsidR="3CE301A9" w:rsidRPr="070233B9">
        <w:rPr>
          <w:rFonts w:ascii="Times New Roman" w:hAnsi="Times New Roman" w:cs="Times New Roman"/>
          <w:sz w:val="24"/>
          <w:szCs w:val="24"/>
          <w:vertAlign w:val="superscript"/>
        </w:rPr>
        <w:t>1</w:t>
      </w:r>
      <w:r w:rsidR="3CE301A9" w:rsidRPr="070233B9">
        <w:rPr>
          <w:rFonts w:ascii="Times New Roman" w:hAnsi="Times New Roman" w:cs="Times New Roman"/>
          <w:sz w:val="24"/>
          <w:szCs w:val="24"/>
        </w:rPr>
        <w:t xml:space="preserve"> straipsnyje ir Lietuvos Respublikos Vyriausybės 2019 m. liepos 31 d. nutarimo Nr. 808 2.2.5 papunktyje, 202</w:t>
      </w:r>
      <w:r w:rsidR="79BCEFCF" w:rsidRPr="070233B9">
        <w:rPr>
          <w:rFonts w:ascii="Times New Roman" w:hAnsi="Times New Roman" w:cs="Times New Roman"/>
          <w:sz w:val="24"/>
          <w:szCs w:val="24"/>
        </w:rPr>
        <w:t>5</w:t>
      </w:r>
      <w:r w:rsidR="3CE301A9" w:rsidRPr="070233B9">
        <w:rPr>
          <w:rFonts w:ascii="Times New Roman" w:hAnsi="Times New Roman" w:cs="Times New Roman"/>
          <w:sz w:val="24"/>
          <w:szCs w:val="24"/>
        </w:rPr>
        <w:t xml:space="preserve"> metais gavo </w:t>
      </w:r>
      <w:r w:rsidR="5C50E6D5" w:rsidRPr="070233B9">
        <w:rPr>
          <w:rFonts w:ascii="Times New Roman" w:hAnsi="Times New Roman" w:cs="Times New Roman"/>
          <w:sz w:val="24"/>
          <w:szCs w:val="24"/>
        </w:rPr>
        <w:t>9</w:t>
      </w:r>
      <w:r w:rsidR="3CE301A9" w:rsidRPr="070233B9">
        <w:rPr>
          <w:rFonts w:ascii="Times New Roman" w:hAnsi="Times New Roman" w:cs="Times New Roman"/>
          <w:sz w:val="24"/>
          <w:szCs w:val="24"/>
        </w:rPr>
        <w:t xml:space="preserve">-ių specialiojo statuso subjektų (Policijos departamento prie Lietuvos Respublikos vidaus reikalų ministerijos, Viešojo saugumo tarnybos prie </w:t>
      </w:r>
      <w:r w:rsidR="03B36D62" w:rsidRPr="070233B9">
        <w:rPr>
          <w:rFonts w:ascii="Times New Roman" w:hAnsi="Times New Roman" w:cs="Times New Roman"/>
          <w:sz w:val="24"/>
          <w:szCs w:val="24"/>
        </w:rPr>
        <w:t>V</w:t>
      </w:r>
      <w:r w:rsidR="3CE301A9" w:rsidRPr="070233B9">
        <w:rPr>
          <w:rFonts w:ascii="Times New Roman" w:hAnsi="Times New Roman" w:cs="Times New Roman"/>
          <w:sz w:val="24"/>
          <w:szCs w:val="24"/>
        </w:rPr>
        <w:t xml:space="preserve">idaus reikalų ministerijos, </w:t>
      </w:r>
      <w:r w:rsidR="00B4324B">
        <w:rPr>
          <w:rFonts w:ascii="Times New Roman" w:hAnsi="Times New Roman" w:cs="Times New Roman"/>
          <w:sz w:val="24"/>
          <w:szCs w:val="24"/>
        </w:rPr>
        <w:t>VSAT</w:t>
      </w:r>
      <w:r w:rsidR="3CE301A9" w:rsidRPr="070233B9">
        <w:rPr>
          <w:rFonts w:ascii="Times New Roman" w:hAnsi="Times New Roman" w:cs="Times New Roman"/>
          <w:sz w:val="24"/>
          <w:szCs w:val="24"/>
        </w:rPr>
        <w:t>, Lietuvos Respublikos vadovybės apsaugos tarnybos, Lietuvos Respublikos valstybės saugumo departamento, Lietuvos kalėjimų tarnybos, Lietuvos Respublikos generalinės prokuratūros, Muitinės departamento prie Lietuvos Respublikos finansų ministerijos</w:t>
      </w:r>
      <w:r w:rsidR="497955FE" w:rsidRPr="070233B9">
        <w:rPr>
          <w:rFonts w:ascii="Times New Roman" w:hAnsi="Times New Roman" w:cs="Times New Roman"/>
          <w:sz w:val="24"/>
          <w:szCs w:val="24"/>
        </w:rPr>
        <w:t xml:space="preserve"> ir Lietuvos </w:t>
      </w:r>
      <w:r w:rsidR="263964C9" w:rsidRPr="070233B9">
        <w:rPr>
          <w:rFonts w:ascii="Times New Roman" w:hAnsi="Times New Roman" w:cs="Times New Roman"/>
          <w:sz w:val="24"/>
          <w:szCs w:val="24"/>
        </w:rPr>
        <w:t>probacijos</w:t>
      </w:r>
      <w:r w:rsidR="497955FE" w:rsidRPr="070233B9">
        <w:rPr>
          <w:rFonts w:ascii="Times New Roman" w:hAnsi="Times New Roman" w:cs="Times New Roman"/>
          <w:sz w:val="24"/>
          <w:szCs w:val="24"/>
        </w:rPr>
        <w:t xml:space="preserve"> tarnybos</w:t>
      </w:r>
      <w:r w:rsidR="3CE301A9" w:rsidRPr="070233B9">
        <w:rPr>
          <w:rFonts w:ascii="Times New Roman" w:hAnsi="Times New Roman" w:cs="Times New Roman"/>
          <w:sz w:val="24"/>
          <w:szCs w:val="24"/>
        </w:rPr>
        <w:t>)</w:t>
      </w:r>
      <w:r w:rsidR="768C6E53" w:rsidRPr="070233B9">
        <w:rPr>
          <w:rFonts w:ascii="Times New Roman" w:hAnsi="Times New Roman" w:cs="Times New Roman"/>
          <w:sz w:val="24"/>
          <w:szCs w:val="24"/>
        </w:rPr>
        <w:t xml:space="preserve"> ir </w:t>
      </w:r>
      <w:r w:rsidR="09068E1E" w:rsidRPr="070233B9">
        <w:rPr>
          <w:rFonts w:ascii="Times New Roman" w:hAnsi="Times New Roman" w:cs="Times New Roman"/>
          <w:sz w:val="24"/>
          <w:szCs w:val="24"/>
        </w:rPr>
        <w:t>vienos</w:t>
      </w:r>
      <w:r w:rsidR="768C6E53" w:rsidRPr="070233B9">
        <w:rPr>
          <w:rFonts w:ascii="Times New Roman" w:hAnsi="Times New Roman" w:cs="Times New Roman"/>
          <w:sz w:val="24"/>
          <w:szCs w:val="24"/>
        </w:rPr>
        <w:t xml:space="preserve"> valstybės įstaig</w:t>
      </w:r>
      <w:r w:rsidR="014EA6D4" w:rsidRPr="070233B9">
        <w:rPr>
          <w:rFonts w:ascii="Times New Roman" w:hAnsi="Times New Roman" w:cs="Times New Roman"/>
          <w:sz w:val="24"/>
          <w:szCs w:val="24"/>
        </w:rPr>
        <w:t>os</w:t>
      </w:r>
      <w:r w:rsidR="768C6E53" w:rsidRPr="070233B9">
        <w:rPr>
          <w:rFonts w:ascii="Times New Roman" w:hAnsi="Times New Roman" w:cs="Times New Roman"/>
          <w:sz w:val="24"/>
          <w:szCs w:val="24"/>
        </w:rPr>
        <w:t xml:space="preserve"> (Lietuvos banko)</w:t>
      </w:r>
      <w:r w:rsidR="3CE301A9" w:rsidRPr="070233B9">
        <w:rPr>
          <w:rFonts w:ascii="Times New Roman" w:hAnsi="Times New Roman" w:cs="Times New Roman"/>
          <w:sz w:val="24"/>
          <w:szCs w:val="24"/>
        </w:rPr>
        <w:t xml:space="preserve"> paraiškas ginklų, ginklų priedėlių, šaudmenų ir jų dalių įsigijimui. </w:t>
      </w:r>
      <w:r w:rsidR="56825CE2" w:rsidRPr="070233B9">
        <w:rPr>
          <w:rFonts w:ascii="Times New Roman" w:hAnsi="Times New Roman" w:cs="Times New Roman"/>
          <w:sz w:val="24"/>
          <w:szCs w:val="24"/>
        </w:rPr>
        <w:t xml:space="preserve">2025 </w:t>
      </w:r>
      <w:r w:rsidR="3CE301A9" w:rsidRPr="070233B9">
        <w:rPr>
          <w:rFonts w:ascii="Times New Roman" w:hAnsi="Times New Roman" w:cs="Times New Roman"/>
          <w:sz w:val="24"/>
          <w:szCs w:val="24"/>
        </w:rPr>
        <w:t>met</w:t>
      </w:r>
      <w:r w:rsidR="01C7ADC0" w:rsidRPr="070233B9">
        <w:rPr>
          <w:rFonts w:ascii="Times New Roman" w:hAnsi="Times New Roman" w:cs="Times New Roman"/>
          <w:sz w:val="24"/>
          <w:szCs w:val="24"/>
        </w:rPr>
        <w:t>ais</w:t>
      </w:r>
      <w:r w:rsidR="3CE301A9" w:rsidRPr="070233B9">
        <w:rPr>
          <w:rFonts w:ascii="Times New Roman" w:hAnsi="Times New Roman" w:cs="Times New Roman"/>
          <w:sz w:val="24"/>
          <w:szCs w:val="24"/>
        </w:rPr>
        <w:t xml:space="preserve"> </w:t>
      </w:r>
      <w:r w:rsidR="05125158" w:rsidRPr="070233B9">
        <w:rPr>
          <w:rFonts w:ascii="Times New Roman" w:hAnsi="Times New Roman" w:cs="Times New Roman"/>
          <w:sz w:val="24"/>
          <w:szCs w:val="24"/>
        </w:rPr>
        <w:t>s</w:t>
      </w:r>
      <w:r w:rsidR="3CE301A9" w:rsidRPr="070233B9">
        <w:rPr>
          <w:rFonts w:ascii="Times New Roman" w:hAnsi="Times New Roman" w:cs="Times New Roman"/>
          <w:sz w:val="24"/>
          <w:szCs w:val="24"/>
        </w:rPr>
        <w:t xml:space="preserve">pecialiojo statuso subjektams, </w:t>
      </w:r>
      <w:r w:rsidR="7A2E94B1" w:rsidRPr="070233B9">
        <w:rPr>
          <w:rFonts w:ascii="Times New Roman" w:hAnsi="Times New Roman" w:cs="Times New Roman"/>
          <w:sz w:val="24"/>
          <w:szCs w:val="24"/>
        </w:rPr>
        <w:t xml:space="preserve">valstybės institucijoms ir įstaigoms </w:t>
      </w:r>
      <w:r w:rsidR="3CE301A9" w:rsidRPr="070233B9">
        <w:rPr>
          <w:rFonts w:ascii="Times New Roman" w:hAnsi="Times New Roman" w:cs="Times New Roman"/>
          <w:sz w:val="24"/>
          <w:szCs w:val="24"/>
        </w:rPr>
        <w:t>parduota ginklų, ginklų</w:t>
      </w:r>
      <w:r w:rsidR="3CE301A9" w:rsidRPr="00232659">
        <w:rPr>
          <w:rFonts w:ascii="Times New Roman" w:hAnsi="Times New Roman" w:cs="Times New Roman"/>
          <w:sz w:val="24"/>
          <w:szCs w:val="24"/>
        </w:rPr>
        <w:t xml:space="preserve"> priedelių,</w:t>
      </w:r>
      <w:r w:rsidR="3CE301A9" w:rsidRPr="070233B9">
        <w:rPr>
          <w:rFonts w:ascii="Times New Roman" w:hAnsi="Times New Roman" w:cs="Times New Roman"/>
        </w:rPr>
        <w:t xml:space="preserve"> </w:t>
      </w:r>
      <w:r w:rsidR="3CE301A9" w:rsidRPr="00232659">
        <w:rPr>
          <w:rFonts w:ascii="Times New Roman" w:hAnsi="Times New Roman" w:cs="Times New Roman"/>
          <w:sz w:val="24"/>
          <w:szCs w:val="24"/>
        </w:rPr>
        <w:t xml:space="preserve">šaudmenų ir jų dalių </w:t>
      </w:r>
      <w:r w:rsidR="3CE301A9" w:rsidRPr="070233B9">
        <w:rPr>
          <w:rFonts w:ascii="Times New Roman" w:eastAsia="Times New Roman" w:hAnsi="Times New Roman" w:cs="Times New Roman"/>
          <w:sz w:val="24"/>
          <w:szCs w:val="24"/>
        </w:rPr>
        <w:t xml:space="preserve">už </w:t>
      </w:r>
      <w:r w:rsidR="69894B48" w:rsidRPr="009769FF">
        <w:rPr>
          <w:rFonts w:ascii="Times New Roman" w:eastAsia="Times New Roman" w:hAnsi="Times New Roman" w:cs="Times New Roman"/>
          <w:sz w:val="24"/>
          <w:szCs w:val="24"/>
        </w:rPr>
        <w:t>2091323,71</w:t>
      </w:r>
      <w:r w:rsidR="3CE301A9" w:rsidRPr="009769FF">
        <w:rPr>
          <w:rFonts w:ascii="Times New Roman" w:eastAsia="Times New Roman" w:hAnsi="Times New Roman" w:cs="Times New Roman"/>
          <w:sz w:val="24"/>
          <w:szCs w:val="24"/>
        </w:rPr>
        <w:t xml:space="preserve"> </w:t>
      </w:r>
      <w:r w:rsidR="3CE301A9" w:rsidRPr="070233B9">
        <w:rPr>
          <w:rFonts w:ascii="Times New Roman" w:eastAsia="Times New Roman" w:hAnsi="Times New Roman" w:cs="Times New Roman"/>
          <w:sz w:val="24"/>
          <w:szCs w:val="24"/>
        </w:rPr>
        <w:t>Eur (su PVM)</w:t>
      </w:r>
      <w:r w:rsidR="26F14FB3" w:rsidRPr="070233B9">
        <w:rPr>
          <w:rFonts w:ascii="Times New Roman" w:eastAsia="Times New Roman" w:hAnsi="Times New Roman" w:cs="Times New Roman"/>
          <w:sz w:val="24"/>
          <w:szCs w:val="24"/>
        </w:rPr>
        <w:t>.</w:t>
      </w:r>
    </w:p>
    <w:p w14:paraId="45A6E616" w14:textId="77777777" w:rsidR="007A74E2" w:rsidRPr="00635295" w:rsidRDefault="007A74E2" w:rsidP="007A5062">
      <w:pPr>
        <w:spacing w:line="276" w:lineRule="auto"/>
        <w:ind w:firstLine="709"/>
        <w:jc w:val="both"/>
        <w:rPr>
          <w:rFonts w:ascii="Times New Roman" w:hAnsi="Times New Roman" w:cs="Times New Roman"/>
        </w:rPr>
      </w:pPr>
    </w:p>
    <w:p w14:paraId="1DB9B96B" w14:textId="77777777" w:rsidR="00721459" w:rsidRPr="00EF5695" w:rsidRDefault="00721459" w:rsidP="007A5062">
      <w:pPr>
        <w:spacing w:line="276" w:lineRule="auto"/>
        <w:ind w:firstLine="709"/>
        <w:jc w:val="center"/>
        <w:rPr>
          <w:rFonts w:ascii="Times New Roman" w:hAnsi="Times New Roman" w:cs="Times New Roman"/>
          <w:b/>
          <w:bCs/>
          <w:sz w:val="24"/>
          <w:szCs w:val="24"/>
        </w:rPr>
      </w:pPr>
      <w:r w:rsidRPr="00EF5695">
        <w:rPr>
          <w:rFonts w:ascii="Times New Roman" w:hAnsi="Times New Roman" w:cs="Times New Roman"/>
          <w:b/>
          <w:bCs/>
          <w:sz w:val="24"/>
          <w:szCs w:val="24"/>
          <w:highlight w:val="lightGray"/>
        </w:rPr>
        <w:t>Aprūpinimas transporto priemonėmis ir transporto priemonių priežiūra</w:t>
      </w:r>
    </w:p>
    <w:p w14:paraId="790B099F" w14:textId="77777777" w:rsidR="00721459" w:rsidRPr="00635295" w:rsidRDefault="00721459" w:rsidP="007A5062">
      <w:pPr>
        <w:spacing w:line="276" w:lineRule="auto"/>
        <w:ind w:firstLine="709"/>
        <w:jc w:val="both"/>
        <w:rPr>
          <w:rFonts w:ascii="Times New Roman" w:hAnsi="Times New Roman" w:cs="Times New Roman"/>
        </w:rPr>
      </w:pPr>
    </w:p>
    <w:p w14:paraId="377D0B1A" w14:textId="603C65EC" w:rsidR="00721459" w:rsidRPr="00EF5695" w:rsidRDefault="56EAA7EC" w:rsidP="007A5062">
      <w:pPr>
        <w:spacing w:line="276" w:lineRule="auto"/>
        <w:ind w:firstLine="709"/>
        <w:jc w:val="both"/>
        <w:rPr>
          <w:rFonts w:ascii="Times New Roman" w:hAnsi="Times New Roman" w:cs="Times New Roman"/>
          <w:sz w:val="24"/>
          <w:szCs w:val="24"/>
        </w:rPr>
      </w:pPr>
      <w:r w:rsidRPr="00EF5695">
        <w:rPr>
          <w:rFonts w:ascii="Times New Roman" w:hAnsi="Times New Roman" w:cs="Times New Roman"/>
          <w:sz w:val="24"/>
          <w:szCs w:val="24"/>
        </w:rPr>
        <w:t>Agentūra</w:t>
      </w:r>
      <w:r w:rsidR="00721459" w:rsidRPr="00EF5695">
        <w:rPr>
          <w:rFonts w:ascii="Times New Roman" w:hAnsi="Times New Roman" w:cs="Times New Roman"/>
          <w:sz w:val="24"/>
          <w:szCs w:val="24"/>
        </w:rPr>
        <w:t xml:space="preserve"> užtikrino Vidaus reikalų ministerijos vadovybės ir Vidaus reikalų ministerijos</w:t>
      </w:r>
      <w:r w:rsidR="7181B1B8" w:rsidRPr="00EF5695">
        <w:rPr>
          <w:rFonts w:ascii="Times New Roman" w:hAnsi="Times New Roman" w:cs="Times New Roman"/>
          <w:sz w:val="24"/>
          <w:szCs w:val="24"/>
        </w:rPr>
        <w:t xml:space="preserve"> valdymo srities įstaigų</w:t>
      </w:r>
      <w:r w:rsidR="00721459" w:rsidRPr="00EF5695">
        <w:rPr>
          <w:rFonts w:ascii="Times New Roman" w:hAnsi="Times New Roman" w:cs="Times New Roman"/>
          <w:sz w:val="24"/>
          <w:szCs w:val="24"/>
        </w:rPr>
        <w:t xml:space="preserve"> aprūpinimą transporto priemonėmis, transporto priemonių priežiūrą iš tam tikslui skirtų asignavimų.</w:t>
      </w:r>
    </w:p>
    <w:p w14:paraId="531FC57A" w14:textId="584DE380" w:rsidR="00721459" w:rsidRPr="00EF5695" w:rsidRDefault="00721459" w:rsidP="007A5062">
      <w:pPr>
        <w:spacing w:line="276" w:lineRule="auto"/>
        <w:ind w:firstLine="709"/>
        <w:jc w:val="both"/>
        <w:rPr>
          <w:rFonts w:ascii="Times New Roman" w:hAnsi="Times New Roman" w:cs="Times New Roman"/>
          <w:sz w:val="24"/>
          <w:szCs w:val="24"/>
        </w:rPr>
      </w:pPr>
      <w:r w:rsidRPr="00EF5695">
        <w:rPr>
          <w:rFonts w:ascii="Times New Roman" w:hAnsi="Times New Roman" w:cs="Times New Roman"/>
          <w:sz w:val="24"/>
          <w:szCs w:val="24"/>
        </w:rPr>
        <w:t>Pagal atliktas viešųjų pirkimų procedūras parengt</w:t>
      </w:r>
      <w:r w:rsidR="2DEC4A22" w:rsidRPr="00EF5695">
        <w:rPr>
          <w:rFonts w:ascii="Times New Roman" w:hAnsi="Times New Roman" w:cs="Times New Roman"/>
          <w:sz w:val="24"/>
          <w:szCs w:val="24"/>
        </w:rPr>
        <w:t>i visi būtini</w:t>
      </w:r>
      <w:r w:rsidR="6F9DC4C2" w:rsidRPr="00EF5695">
        <w:rPr>
          <w:rFonts w:ascii="Times New Roman" w:hAnsi="Times New Roman" w:cs="Times New Roman"/>
          <w:sz w:val="24"/>
          <w:szCs w:val="24"/>
        </w:rPr>
        <w:t>,</w:t>
      </w:r>
      <w:r w:rsidR="2DEC4A22" w:rsidRPr="00EF5695">
        <w:rPr>
          <w:rFonts w:ascii="Times New Roman" w:hAnsi="Times New Roman" w:cs="Times New Roman"/>
          <w:sz w:val="24"/>
          <w:szCs w:val="24"/>
        </w:rPr>
        <w:t xml:space="preserve"> su transporto priemonių priežiūra ir aptarnavimu</w:t>
      </w:r>
      <w:r w:rsidR="4A137519" w:rsidRPr="00EF5695">
        <w:rPr>
          <w:rFonts w:ascii="Times New Roman" w:hAnsi="Times New Roman" w:cs="Times New Roman"/>
          <w:sz w:val="24"/>
          <w:szCs w:val="24"/>
        </w:rPr>
        <w:t>,</w:t>
      </w:r>
      <w:r w:rsidR="2DEC4A22" w:rsidRPr="00EF5695">
        <w:rPr>
          <w:rFonts w:ascii="Times New Roman" w:hAnsi="Times New Roman" w:cs="Times New Roman"/>
          <w:sz w:val="24"/>
          <w:szCs w:val="24"/>
        </w:rPr>
        <w:t xml:space="preserve"> </w:t>
      </w:r>
      <w:r w:rsidR="49FC8A1D" w:rsidRPr="00EF5695">
        <w:rPr>
          <w:rFonts w:ascii="Times New Roman" w:hAnsi="Times New Roman" w:cs="Times New Roman"/>
          <w:sz w:val="24"/>
          <w:szCs w:val="24"/>
        </w:rPr>
        <w:t>susiję paslaugų ir prekių pirkimai.</w:t>
      </w:r>
      <w:r w:rsidRPr="00EF5695">
        <w:rPr>
          <w:rFonts w:ascii="Times New Roman" w:hAnsi="Times New Roman" w:cs="Times New Roman"/>
          <w:sz w:val="24"/>
          <w:szCs w:val="24"/>
        </w:rPr>
        <w:t xml:space="preserve"> </w:t>
      </w:r>
      <w:r w:rsidR="58080301" w:rsidRPr="00EF5695">
        <w:rPr>
          <w:rFonts w:ascii="Times New Roman" w:hAnsi="Times New Roman" w:cs="Times New Roman"/>
          <w:sz w:val="24"/>
          <w:szCs w:val="24"/>
        </w:rPr>
        <w:t>S</w:t>
      </w:r>
      <w:r w:rsidRPr="00EF5695">
        <w:rPr>
          <w:rFonts w:ascii="Times New Roman" w:hAnsi="Times New Roman" w:cs="Times New Roman"/>
          <w:sz w:val="24"/>
          <w:szCs w:val="24"/>
        </w:rPr>
        <w:t xml:space="preserve">u paslaugų teikėjais sudarytos </w:t>
      </w:r>
      <w:r w:rsidR="0D280106" w:rsidRPr="00EF5695">
        <w:rPr>
          <w:rFonts w:ascii="Times New Roman" w:hAnsi="Times New Roman" w:cs="Times New Roman"/>
          <w:sz w:val="24"/>
          <w:szCs w:val="24"/>
        </w:rPr>
        <w:t xml:space="preserve">paslaugų ir prekių pirkimo </w:t>
      </w:r>
      <w:r w:rsidRPr="00EF5695">
        <w:rPr>
          <w:rFonts w:ascii="Times New Roman" w:hAnsi="Times New Roman" w:cs="Times New Roman"/>
          <w:sz w:val="24"/>
          <w:szCs w:val="24"/>
        </w:rPr>
        <w:t>sutartys</w:t>
      </w:r>
      <w:r w:rsidR="28BF7141" w:rsidRPr="00EF5695">
        <w:rPr>
          <w:rFonts w:ascii="Times New Roman" w:hAnsi="Times New Roman" w:cs="Times New Roman"/>
          <w:sz w:val="24"/>
          <w:szCs w:val="24"/>
        </w:rPr>
        <w:t>.</w:t>
      </w:r>
    </w:p>
    <w:p w14:paraId="3E8BCC8E" w14:textId="1EF84645" w:rsidR="00721459" w:rsidRPr="00397AE3" w:rsidRDefault="6D719555" w:rsidP="007A5062">
      <w:pPr>
        <w:spacing w:line="276" w:lineRule="auto"/>
        <w:ind w:firstLine="709"/>
        <w:jc w:val="both"/>
        <w:rPr>
          <w:rFonts w:ascii="Times New Roman" w:hAnsi="Times New Roman" w:cs="Times New Roman"/>
          <w:sz w:val="24"/>
          <w:szCs w:val="24"/>
        </w:rPr>
      </w:pPr>
      <w:r w:rsidRPr="070233B9">
        <w:rPr>
          <w:rFonts w:ascii="Times New Roman" w:hAnsi="Times New Roman" w:cs="Times New Roman"/>
          <w:sz w:val="24"/>
          <w:szCs w:val="24"/>
        </w:rPr>
        <w:t>Taupant bei racionaliai valdant valstybės biudžeto lėšas</w:t>
      </w:r>
      <w:r w:rsidR="68A259DB" w:rsidRPr="070233B9">
        <w:rPr>
          <w:rFonts w:ascii="Times New Roman" w:hAnsi="Times New Roman" w:cs="Times New Roman"/>
          <w:sz w:val="24"/>
          <w:szCs w:val="24"/>
        </w:rPr>
        <w:t xml:space="preserve"> taip pat užtikrinant tinkamą aprūpinimą transporto priemonėmis</w:t>
      </w:r>
      <w:r w:rsidRPr="070233B9">
        <w:rPr>
          <w:rFonts w:ascii="Times New Roman" w:hAnsi="Times New Roman" w:cs="Times New Roman"/>
          <w:sz w:val="24"/>
          <w:szCs w:val="24"/>
        </w:rPr>
        <w:t xml:space="preserve"> </w:t>
      </w:r>
      <w:r w:rsidR="56F66693" w:rsidRPr="070233B9">
        <w:rPr>
          <w:rFonts w:ascii="Times New Roman" w:hAnsi="Times New Roman" w:cs="Times New Roman"/>
          <w:sz w:val="24"/>
          <w:szCs w:val="24"/>
        </w:rPr>
        <w:t>Agentūra</w:t>
      </w:r>
      <w:r w:rsidRPr="070233B9">
        <w:rPr>
          <w:rFonts w:ascii="Times New Roman" w:hAnsi="Times New Roman" w:cs="Times New Roman"/>
          <w:sz w:val="24"/>
          <w:szCs w:val="24"/>
        </w:rPr>
        <w:t xml:space="preserve"> peržiūrėjo transporto priemonių parką</w:t>
      </w:r>
      <w:r w:rsidR="402A7C8A" w:rsidRPr="070233B9">
        <w:rPr>
          <w:rFonts w:ascii="Times New Roman" w:hAnsi="Times New Roman" w:cs="Times New Roman"/>
          <w:sz w:val="24"/>
          <w:szCs w:val="24"/>
        </w:rPr>
        <w:t>,</w:t>
      </w:r>
      <w:r w:rsidR="57483B6E" w:rsidRPr="070233B9">
        <w:rPr>
          <w:rFonts w:ascii="Times New Roman" w:hAnsi="Times New Roman" w:cs="Times New Roman"/>
          <w:sz w:val="24"/>
          <w:szCs w:val="24"/>
        </w:rPr>
        <w:t xml:space="preserve"> įvertino</w:t>
      </w:r>
      <w:r w:rsidR="2EA54C25" w:rsidRPr="070233B9">
        <w:rPr>
          <w:rFonts w:ascii="Times New Roman" w:hAnsi="Times New Roman" w:cs="Times New Roman"/>
          <w:sz w:val="24"/>
          <w:szCs w:val="24"/>
        </w:rPr>
        <w:t xml:space="preserve"> visų</w:t>
      </w:r>
      <w:r w:rsidR="37DF64D1" w:rsidRPr="070233B9">
        <w:rPr>
          <w:rFonts w:ascii="Times New Roman" w:hAnsi="Times New Roman" w:cs="Times New Roman"/>
          <w:sz w:val="24"/>
          <w:szCs w:val="24"/>
        </w:rPr>
        <w:t xml:space="preserve">  </w:t>
      </w:r>
      <w:r w:rsidR="763E6794" w:rsidRPr="070233B9">
        <w:rPr>
          <w:rFonts w:ascii="Times New Roman" w:hAnsi="Times New Roman" w:cs="Times New Roman"/>
          <w:sz w:val="24"/>
          <w:szCs w:val="24"/>
        </w:rPr>
        <w:t xml:space="preserve"> </w:t>
      </w:r>
      <w:r w:rsidR="37DF64D1" w:rsidRPr="070233B9">
        <w:rPr>
          <w:rFonts w:ascii="Times New Roman" w:hAnsi="Times New Roman" w:cs="Times New Roman"/>
          <w:sz w:val="24"/>
          <w:szCs w:val="24"/>
        </w:rPr>
        <w:t>Agentūros</w:t>
      </w:r>
      <w:r w:rsidR="0ABA4C34" w:rsidRPr="070233B9">
        <w:rPr>
          <w:rFonts w:ascii="Times New Roman" w:hAnsi="Times New Roman" w:cs="Times New Roman"/>
          <w:sz w:val="24"/>
          <w:szCs w:val="24"/>
        </w:rPr>
        <w:t xml:space="preserve"> ir</w:t>
      </w:r>
      <w:r w:rsidR="37DF64D1" w:rsidRPr="070233B9">
        <w:rPr>
          <w:rFonts w:ascii="Times New Roman" w:hAnsi="Times New Roman" w:cs="Times New Roman"/>
          <w:sz w:val="24"/>
          <w:szCs w:val="24"/>
        </w:rPr>
        <w:t xml:space="preserve"> perduotų panaudos pagrindais naudotis V</w:t>
      </w:r>
      <w:r w:rsidR="00C83457">
        <w:rPr>
          <w:rFonts w:ascii="Times New Roman" w:hAnsi="Times New Roman" w:cs="Times New Roman"/>
          <w:sz w:val="24"/>
          <w:szCs w:val="24"/>
        </w:rPr>
        <w:t>idaus reikalų ministerijos</w:t>
      </w:r>
      <w:r w:rsidR="37DF64D1" w:rsidRPr="070233B9">
        <w:rPr>
          <w:rFonts w:ascii="Times New Roman" w:hAnsi="Times New Roman" w:cs="Times New Roman"/>
          <w:sz w:val="24"/>
          <w:szCs w:val="24"/>
        </w:rPr>
        <w:t xml:space="preserve"> valdymo srities įstaigoms</w:t>
      </w:r>
      <w:r w:rsidR="57483B6E" w:rsidRPr="070233B9">
        <w:rPr>
          <w:rFonts w:ascii="Times New Roman" w:hAnsi="Times New Roman" w:cs="Times New Roman"/>
          <w:sz w:val="24"/>
          <w:szCs w:val="24"/>
        </w:rPr>
        <w:t xml:space="preserve"> eksploatuojamų transporto priemonių</w:t>
      </w:r>
      <w:r w:rsidR="68385119" w:rsidRPr="070233B9">
        <w:rPr>
          <w:rFonts w:ascii="Times New Roman" w:hAnsi="Times New Roman" w:cs="Times New Roman"/>
          <w:sz w:val="24"/>
          <w:szCs w:val="24"/>
        </w:rPr>
        <w:t xml:space="preserve"> </w:t>
      </w:r>
      <w:r w:rsidR="6B29C7F2" w:rsidRPr="070233B9">
        <w:rPr>
          <w:rFonts w:ascii="Times New Roman" w:hAnsi="Times New Roman" w:cs="Times New Roman"/>
          <w:sz w:val="24"/>
          <w:szCs w:val="24"/>
        </w:rPr>
        <w:t>būtinumą</w:t>
      </w:r>
      <w:r w:rsidRPr="070233B9">
        <w:rPr>
          <w:rFonts w:ascii="Times New Roman" w:hAnsi="Times New Roman" w:cs="Times New Roman"/>
          <w:sz w:val="24"/>
          <w:szCs w:val="24"/>
        </w:rPr>
        <w:t xml:space="preserve"> bei </w:t>
      </w:r>
      <w:r w:rsidR="69CD1122" w:rsidRPr="070233B9">
        <w:rPr>
          <w:rFonts w:ascii="Times New Roman" w:hAnsi="Times New Roman" w:cs="Times New Roman"/>
          <w:sz w:val="24"/>
          <w:szCs w:val="24"/>
        </w:rPr>
        <w:t>optimizavo</w:t>
      </w:r>
      <w:r w:rsidR="24AA2E16" w:rsidRPr="070233B9">
        <w:rPr>
          <w:rFonts w:ascii="Times New Roman" w:hAnsi="Times New Roman" w:cs="Times New Roman"/>
          <w:sz w:val="24"/>
          <w:szCs w:val="24"/>
        </w:rPr>
        <w:t xml:space="preserve"> transporto priemonių</w:t>
      </w:r>
      <w:r w:rsidR="69CD1122" w:rsidRPr="070233B9">
        <w:rPr>
          <w:rFonts w:ascii="Times New Roman" w:hAnsi="Times New Roman" w:cs="Times New Roman"/>
          <w:sz w:val="24"/>
          <w:szCs w:val="24"/>
        </w:rPr>
        <w:t xml:space="preserve"> parką, </w:t>
      </w:r>
      <w:r w:rsidRPr="070233B9">
        <w:rPr>
          <w:rFonts w:ascii="Times New Roman" w:hAnsi="Times New Roman" w:cs="Times New Roman"/>
          <w:sz w:val="24"/>
          <w:szCs w:val="24"/>
        </w:rPr>
        <w:t>atsisak</w:t>
      </w:r>
      <w:r w:rsidR="573F16F9" w:rsidRPr="070233B9">
        <w:rPr>
          <w:rFonts w:ascii="Times New Roman" w:hAnsi="Times New Roman" w:cs="Times New Roman"/>
          <w:sz w:val="24"/>
          <w:szCs w:val="24"/>
        </w:rPr>
        <w:t>ant</w:t>
      </w:r>
      <w:r w:rsidRPr="070233B9">
        <w:rPr>
          <w:rFonts w:ascii="Times New Roman" w:hAnsi="Times New Roman" w:cs="Times New Roman"/>
          <w:sz w:val="24"/>
          <w:szCs w:val="24"/>
        </w:rPr>
        <w:t xml:space="preserve"> tolimesnės prastesnės techninės būklės, taršių transporto priemonių</w:t>
      </w:r>
      <w:r w:rsidR="7B5F101A" w:rsidRPr="070233B9">
        <w:rPr>
          <w:rFonts w:ascii="Times New Roman" w:hAnsi="Times New Roman" w:cs="Times New Roman"/>
          <w:sz w:val="24"/>
          <w:szCs w:val="24"/>
        </w:rPr>
        <w:t xml:space="preserve"> eksploatacijos</w:t>
      </w:r>
      <w:r w:rsidR="054B6E6E" w:rsidRPr="070233B9">
        <w:rPr>
          <w:rFonts w:ascii="Times New Roman" w:hAnsi="Times New Roman" w:cs="Times New Roman"/>
          <w:sz w:val="24"/>
          <w:szCs w:val="24"/>
        </w:rPr>
        <w:t>,</w:t>
      </w:r>
      <w:r w:rsidR="69D4120D" w:rsidRPr="070233B9">
        <w:rPr>
          <w:rFonts w:ascii="Times New Roman" w:hAnsi="Times New Roman" w:cs="Times New Roman"/>
          <w:sz w:val="24"/>
          <w:szCs w:val="24"/>
        </w:rPr>
        <w:t xml:space="preserve"> pardavus jas </w:t>
      </w:r>
      <w:r w:rsidR="37FBC1E6" w:rsidRPr="070233B9">
        <w:rPr>
          <w:rFonts w:ascii="Times New Roman" w:hAnsi="Times New Roman" w:cs="Times New Roman"/>
          <w:sz w:val="24"/>
          <w:szCs w:val="24"/>
        </w:rPr>
        <w:t>v</w:t>
      </w:r>
      <w:r w:rsidR="69D4120D" w:rsidRPr="070233B9">
        <w:rPr>
          <w:rFonts w:ascii="Times New Roman" w:hAnsi="Times New Roman" w:cs="Times New Roman"/>
          <w:sz w:val="24"/>
          <w:szCs w:val="24"/>
        </w:rPr>
        <w:t>iešuosiuose prekių aukcionuose</w:t>
      </w:r>
      <w:r w:rsidR="25E1457D" w:rsidRPr="070233B9">
        <w:rPr>
          <w:rFonts w:ascii="Times New Roman" w:hAnsi="Times New Roman" w:cs="Times New Roman"/>
          <w:sz w:val="24"/>
          <w:szCs w:val="24"/>
        </w:rPr>
        <w:t>,</w:t>
      </w:r>
      <w:r w:rsidR="2391BFA9" w:rsidRPr="070233B9">
        <w:rPr>
          <w:rFonts w:ascii="Times New Roman" w:hAnsi="Times New Roman" w:cs="Times New Roman"/>
          <w:sz w:val="24"/>
          <w:szCs w:val="24"/>
        </w:rPr>
        <w:t xml:space="preserve"> ir atsinaujino transporto priemonių parką </w:t>
      </w:r>
      <w:r w:rsidR="7570192D" w:rsidRPr="070233B9">
        <w:rPr>
          <w:rFonts w:ascii="Times New Roman" w:hAnsi="Times New Roman" w:cs="Times New Roman"/>
          <w:sz w:val="24"/>
          <w:szCs w:val="24"/>
        </w:rPr>
        <w:t xml:space="preserve">įsigydama </w:t>
      </w:r>
      <w:r w:rsidR="7570192D" w:rsidRPr="00397AE3">
        <w:rPr>
          <w:rFonts w:ascii="Times New Roman" w:hAnsi="Times New Roman" w:cs="Times New Roman"/>
          <w:sz w:val="24"/>
          <w:szCs w:val="24"/>
        </w:rPr>
        <w:t xml:space="preserve">naujas transporto priemones nuomos būdu </w:t>
      </w:r>
      <w:r w:rsidR="1CC90EB2" w:rsidRPr="00397AE3">
        <w:rPr>
          <w:rFonts w:ascii="Times New Roman" w:hAnsi="Times New Roman" w:cs="Times New Roman"/>
          <w:sz w:val="24"/>
          <w:szCs w:val="24"/>
        </w:rPr>
        <w:t>bei</w:t>
      </w:r>
      <w:r w:rsidR="7570192D" w:rsidRPr="00397AE3">
        <w:rPr>
          <w:rFonts w:ascii="Times New Roman" w:hAnsi="Times New Roman" w:cs="Times New Roman"/>
          <w:sz w:val="24"/>
          <w:szCs w:val="24"/>
        </w:rPr>
        <w:t xml:space="preserve"> dvi transporto priemones </w:t>
      </w:r>
      <w:r w:rsidR="153DA6CD" w:rsidRPr="00397AE3">
        <w:rPr>
          <w:rFonts w:ascii="Times New Roman" w:hAnsi="Times New Roman" w:cs="Times New Roman"/>
          <w:sz w:val="24"/>
          <w:szCs w:val="24"/>
        </w:rPr>
        <w:t xml:space="preserve">įsigydama </w:t>
      </w:r>
      <w:r w:rsidR="7570192D" w:rsidRPr="00397AE3">
        <w:rPr>
          <w:rFonts w:ascii="Times New Roman" w:hAnsi="Times New Roman" w:cs="Times New Roman"/>
          <w:sz w:val="24"/>
          <w:szCs w:val="24"/>
        </w:rPr>
        <w:t>nuosavybė</w:t>
      </w:r>
      <w:r w:rsidR="2A172F13" w:rsidRPr="00397AE3">
        <w:rPr>
          <w:rFonts w:ascii="Times New Roman" w:hAnsi="Times New Roman" w:cs="Times New Roman"/>
          <w:sz w:val="24"/>
          <w:szCs w:val="24"/>
        </w:rPr>
        <w:t>s teise</w:t>
      </w:r>
      <w:r w:rsidR="7570192D" w:rsidRPr="00397AE3">
        <w:rPr>
          <w:rFonts w:ascii="Times New Roman" w:hAnsi="Times New Roman" w:cs="Times New Roman"/>
          <w:sz w:val="24"/>
          <w:szCs w:val="24"/>
        </w:rPr>
        <w:t xml:space="preserve">. </w:t>
      </w:r>
    </w:p>
    <w:p w14:paraId="04E7BBC8" w14:textId="2C9D9871" w:rsidR="00721459" w:rsidRPr="00EF5695" w:rsidRDefault="34BEDE39" w:rsidP="007A5062">
      <w:pPr>
        <w:spacing w:line="276" w:lineRule="auto"/>
        <w:ind w:firstLine="709"/>
        <w:jc w:val="both"/>
        <w:rPr>
          <w:rFonts w:ascii="Times New Roman" w:hAnsi="Times New Roman" w:cs="Times New Roman"/>
          <w:sz w:val="24"/>
          <w:szCs w:val="24"/>
        </w:rPr>
      </w:pPr>
      <w:r w:rsidRPr="00397AE3">
        <w:rPr>
          <w:rFonts w:ascii="Times New Roman" w:hAnsi="Times New Roman" w:cs="Times New Roman"/>
          <w:sz w:val="24"/>
          <w:szCs w:val="24"/>
        </w:rPr>
        <w:t>Visų eksploatuojamų transporto priemonių techn</w:t>
      </w:r>
      <w:r w:rsidR="1B4194F3" w:rsidRPr="00397AE3">
        <w:rPr>
          <w:rFonts w:ascii="Times New Roman" w:hAnsi="Times New Roman" w:cs="Times New Roman"/>
          <w:sz w:val="24"/>
          <w:szCs w:val="24"/>
        </w:rPr>
        <w:t>inė būklė užtikrinta (laiku</w:t>
      </w:r>
      <w:r w:rsidR="64E5BCD3" w:rsidRPr="00397AE3">
        <w:rPr>
          <w:rFonts w:ascii="Times New Roman" w:hAnsi="Times New Roman" w:cs="Times New Roman"/>
          <w:sz w:val="24"/>
          <w:szCs w:val="24"/>
        </w:rPr>
        <w:t xml:space="preserve"> </w:t>
      </w:r>
      <w:r w:rsidR="00721459" w:rsidRPr="00397AE3">
        <w:rPr>
          <w:rFonts w:ascii="Times New Roman" w:hAnsi="Times New Roman" w:cs="Times New Roman"/>
          <w:sz w:val="24"/>
          <w:szCs w:val="24"/>
        </w:rPr>
        <w:t>atlikt</w:t>
      </w:r>
      <w:r w:rsidR="5CD1EB88" w:rsidRPr="00397AE3">
        <w:rPr>
          <w:rFonts w:ascii="Times New Roman" w:hAnsi="Times New Roman" w:cs="Times New Roman"/>
          <w:sz w:val="24"/>
          <w:szCs w:val="24"/>
        </w:rPr>
        <w:t>i</w:t>
      </w:r>
      <w:r w:rsidR="00721459" w:rsidRPr="00397AE3">
        <w:rPr>
          <w:rFonts w:ascii="Times New Roman" w:hAnsi="Times New Roman" w:cs="Times New Roman"/>
          <w:sz w:val="24"/>
          <w:szCs w:val="24"/>
        </w:rPr>
        <w:t xml:space="preserve"> automobilių remonta</w:t>
      </w:r>
      <w:r w:rsidR="730AF35A" w:rsidRPr="00397AE3">
        <w:rPr>
          <w:rFonts w:ascii="Times New Roman" w:hAnsi="Times New Roman" w:cs="Times New Roman"/>
          <w:sz w:val="24"/>
          <w:szCs w:val="24"/>
        </w:rPr>
        <w:t>i</w:t>
      </w:r>
      <w:r w:rsidR="00721459" w:rsidRPr="00397AE3">
        <w:rPr>
          <w:rFonts w:ascii="Times New Roman" w:hAnsi="Times New Roman" w:cs="Times New Roman"/>
          <w:sz w:val="24"/>
          <w:szCs w:val="24"/>
        </w:rPr>
        <w:t xml:space="preserve">, techniniai aptarnavimai, automobiliai </w:t>
      </w:r>
      <w:r w:rsidR="7F6FC258" w:rsidRPr="00397AE3">
        <w:rPr>
          <w:rFonts w:ascii="Times New Roman" w:hAnsi="Times New Roman" w:cs="Times New Roman"/>
          <w:sz w:val="24"/>
          <w:szCs w:val="24"/>
        </w:rPr>
        <w:t xml:space="preserve">tinkamai </w:t>
      </w:r>
      <w:r w:rsidR="19818137" w:rsidRPr="00397AE3">
        <w:rPr>
          <w:rFonts w:ascii="Times New Roman" w:hAnsi="Times New Roman" w:cs="Times New Roman"/>
          <w:sz w:val="24"/>
          <w:szCs w:val="24"/>
        </w:rPr>
        <w:t>paruošti</w:t>
      </w:r>
      <w:r w:rsidR="00721459" w:rsidRPr="00397AE3">
        <w:rPr>
          <w:rFonts w:ascii="Times New Roman" w:hAnsi="Times New Roman" w:cs="Times New Roman"/>
          <w:sz w:val="24"/>
          <w:szCs w:val="24"/>
        </w:rPr>
        <w:t xml:space="preserve"> valstybinei techninei apžiūrai</w:t>
      </w:r>
      <w:r w:rsidR="2F01012E" w:rsidRPr="00397AE3">
        <w:rPr>
          <w:rFonts w:ascii="Times New Roman" w:hAnsi="Times New Roman" w:cs="Times New Roman"/>
          <w:sz w:val="24"/>
          <w:szCs w:val="24"/>
        </w:rPr>
        <w:t>).</w:t>
      </w:r>
      <w:r w:rsidR="00721459" w:rsidRPr="00397AE3">
        <w:rPr>
          <w:rFonts w:ascii="Times New Roman" w:hAnsi="Times New Roman" w:cs="Times New Roman"/>
          <w:sz w:val="24"/>
          <w:szCs w:val="24"/>
        </w:rPr>
        <w:t xml:space="preserve"> </w:t>
      </w:r>
      <w:r w:rsidR="6689E1C8" w:rsidRPr="00397AE3">
        <w:rPr>
          <w:rFonts w:ascii="Times New Roman" w:hAnsi="Times New Roman" w:cs="Times New Roman"/>
          <w:sz w:val="24"/>
          <w:szCs w:val="24"/>
        </w:rPr>
        <w:t>Kiekvienam mėnesiui</w:t>
      </w:r>
      <w:r w:rsidR="00721459" w:rsidRPr="00397AE3">
        <w:rPr>
          <w:rFonts w:ascii="Times New Roman" w:hAnsi="Times New Roman" w:cs="Times New Roman"/>
          <w:sz w:val="24"/>
          <w:szCs w:val="24"/>
        </w:rPr>
        <w:t xml:space="preserve"> </w:t>
      </w:r>
      <w:r w:rsidR="1E241A8B" w:rsidRPr="00397AE3">
        <w:rPr>
          <w:rFonts w:ascii="Times New Roman" w:hAnsi="Times New Roman" w:cs="Times New Roman"/>
          <w:sz w:val="24"/>
          <w:szCs w:val="24"/>
        </w:rPr>
        <w:t>p</w:t>
      </w:r>
      <w:r w:rsidR="00721459" w:rsidRPr="00397AE3">
        <w:rPr>
          <w:rFonts w:ascii="Times New Roman" w:hAnsi="Times New Roman" w:cs="Times New Roman"/>
          <w:sz w:val="24"/>
          <w:szCs w:val="24"/>
        </w:rPr>
        <w:t>arengtos kuro sunaudojimo ataskaitos</w:t>
      </w:r>
      <w:r w:rsidR="546EE5C1" w:rsidRPr="00397AE3">
        <w:rPr>
          <w:rFonts w:ascii="Times New Roman" w:hAnsi="Times New Roman" w:cs="Times New Roman"/>
          <w:sz w:val="24"/>
          <w:szCs w:val="24"/>
        </w:rPr>
        <w:t>,</w:t>
      </w:r>
      <w:r w:rsidR="00721459" w:rsidRPr="00397AE3">
        <w:rPr>
          <w:rFonts w:ascii="Times New Roman" w:hAnsi="Times New Roman" w:cs="Times New Roman"/>
          <w:sz w:val="24"/>
          <w:szCs w:val="24"/>
        </w:rPr>
        <w:t xml:space="preserve"> </w:t>
      </w:r>
      <w:r w:rsidR="7A1A60BB" w:rsidRPr="00397AE3">
        <w:rPr>
          <w:rFonts w:ascii="Times New Roman" w:hAnsi="Times New Roman" w:cs="Times New Roman"/>
          <w:sz w:val="24"/>
          <w:szCs w:val="24"/>
        </w:rPr>
        <w:t>taip pat</w:t>
      </w:r>
      <w:r w:rsidR="00721459" w:rsidRPr="00397AE3">
        <w:rPr>
          <w:rFonts w:ascii="Times New Roman" w:hAnsi="Times New Roman" w:cs="Times New Roman"/>
          <w:sz w:val="24"/>
          <w:szCs w:val="24"/>
        </w:rPr>
        <w:t xml:space="preserve"> transporto </w:t>
      </w:r>
      <w:r w:rsidR="00721459" w:rsidRPr="00EF5695">
        <w:rPr>
          <w:rFonts w:ascii="Times New Roman" w:hAnsi="Times New Roman" w:cs="Times New Roman"/>
          <w:sz w:val="24"/>
          <w:szCs w:val="24"/>
        </w:rPr>
        <w:t xml:space="preserve">priemonių techninių apžiūrų ir techninio aptarnavimo grafikai. </w:t>
      </w:r>
    </w:p>
    <w:p w14:paraId="443CFC34" w14:textId="269DE18F" w:rsidR="00EE3319" w:rsidRPr="00EF5695" w:rsidRDefault="6A6B1854" w:rsidP="007A5062">
      <w:pPr>
        <w:spacing w:line="276" w:lineRule="auto"/>
        <w:ind w:firstLine="709"/>
        <w:jc w:val="both"/>
        <w:rPr>
          <w:rFonts w:ascii="Times New Roman" w:eastAsia="Times New Roman" w:hAnsi="Times New Roman" w:cs="Times New Roman"/>
          <w:sz w:val="24"/>
          <w:szCs w:val="24"/>
        </w:rPr>
      </w:pPr>
      <w:r w:rsidRPr="070233B9">
        <w:rPr>
          <w:rFonts w:ascii="Times New Roman" w:eastAsia="Times New Roman" w:hAnsi="Times New Roman" w:cs="Times New Roman"/>
          <w:sz w:val="24"/>
          <w:szCs w:val="24"/>
        </w:rPr>
        <w:t xml:space="preserve">Per </w:t>
      </w:r>
      <w:r w:rsidR="0BC3B52A" w:rsidRPr="070233B9">
        <w:rPr>
          <w:rFonts w:ascii="Times New Roman" w:eastAsia="Times New Roman" w:hAnsi="Times New Roman" w:cs="Times New Roman"/>
          <w:sz w:val="24"/>
          <w:szCs w:val="24"/>
        </w:rPr>
        <w:t>202</w:t>
      </w:r>
      <w:r w:rsidR="3E2A7F28" w:rsidRPr="070233B9">
        <w:rPr>
          <w:rFonts w:ascii="Times New Roman" w:eastAsia="Times New Roman" w:hAnsi="Times New Roman" w:cs="Times New Roman"/>
          <w:sz w:val="24"/>
          <w:szCs w:val="24"/>
        </w:rPr>
        <w:t>5</w:t>
      </w:r>
      <w:r w:rsidR="0BC3B52A" w:rsidRPr="070233B9">
        <w:rPr>
          <w:rFonts w:ascii="Times New Roman" w:eastAsia="Times New Roman" w:hAnsi="Times New Roman" w:cs="Times New Roman"/>
          <w:sz w:val="24"/>
          <w:szCs w:val="24"/>
        </w:rPr>
        <w:t xml:space="preserve"> </w:t>
      </w:r>
      <w:r w:rsidRPr="070233B9">
        <w:rPr>
          <w:rFonts w:ascii="Times New Roman" w:eastAsia="Times New Roman" w:hAnsi="Times New Roman" w:cs="Times New Roman"/>
          <w:sz w:val="24"/>
          <w:szCs w:val="24"/>
        </w:rPr>
        <w:t>m.</w:t>
      </w:r>
      <w:r w:rsidR="5D76D81A" w:rsidRPr="070233B9">
        <w:rPr>
          <w:rFonts w:ascii="Times New Roman" w:eastAsia="Times New Roman" w:hAnsi="Times New Roman" w:cs="Times New Roman"/>
          <w:sz w:val="24"/>
          <w:szCs w:val="24"/>
        </w:rPr>
        <w:t xml:space="preserve"> </w:t>
      </w:r>
      <w:r w:rsidR="7CFD058C" w:rsidRPr="070233B9">
        <w:rPr>
          <w:rFonts w:ascii="Times New Roman" w:eastAsia="Times New Roman" w:hAnsi="Times New Roman" w:cs="Times New Roman"/>
          <w:sz w:val="24"/>
          <w:szCs w:val="24"/>
        </w:rPr>
        <w:t>per SharePoint</w:t>
      </w:r>
      <w:r w:rsidR="238895AC" w:rsidRPr="070233B9">
        <w:rPr>
          <w:rFonts w:ascii="Times New Roman" w:eastAsia="Times New Roman" w:hAnsi="Times New Roman" w:cs="Times New Roman"/>
          <w:sz w:val="24"/>
          <w:szCs w:val="24"/>
        </w:rPr>
        <w:t xml:space="preserve"> </w:t>
      </w:r>
      <w:r w:rsidR="496656ED" w:rsidRPr="070233B9">
        <w:rPr>
          <w:rFonts w:ascii="Times New Roman" w:eastAsia="Times New Roman" w:hAnsi="Times New Roman" w:cs="Times New Roman"/>
          <w:sz w:val="24"/>
          <w:szCs w:val="24"/>
        </w:rPr>
        <w:t xml:space="preserve">įrankį </w:t>
      </w:r>
      <w:r w:rsidR="7CFD058C" w:rsidRPr="070233B9">
        <w:rPr>
          <w:rFonts w:ascii="Times New Roman" w:eastAsia="Times New Roman" w:hAnsi="Times New Roman" w:cs="Times New Roman"/>
          <w:sz w:val="24"/>
          <w:szCs w:val="24"/>
        </w:rPr>
        <w:t>pateikti ir tinkamai</w:t>
      </w:r>
      <w:r w:rsidR="131C2AE3" w:rsidRPr="070233B9">
        <w:rPr>
          <w:rFonts w:ascii="Times New Roman" w:eastAsia="Times New Roman" w:hAnsi="Times New Roman" w:cs="Times New Roman"/>
          <w:sz w:val="24"/>
          <w:szCs w:val="24"/>
        </w:rPr>
        <w:t xml:space="preserve"> </w:t>
      </w:r>
      <w:r w:rsidRPr="070233B9">
        <w:rPr>
          <w:rFonts w:ascii="Times New Roman" w:eastAsia="Times New Roman" w:hAnsi="Times New Roman" w:cs="Times New Roman"/>
          <w:sz w:val="24"/>
          <w:szCs w:val="24"/>
        </w:rPr>
        <w:t>įvykdyt</w:t>
      </w:r>
      <w:r w:rsidR="7CD06EBB" w:rsidRPr="070233B9">
        <w:rPr>
          <w:rFonts w:ascii="Times New Roman" w:eastAsia="Times New Roman" w:hAnsi="Times New Roman" w:cs="Times New Roman"/>
          <w:sz w:val="24"/>
          <w:szCs w:val="24"/>
        </w:rPr>
        <w:t>i</w:t>
      </w:r>
      <w:r w:rsidRPr="070233B9">
        <w:rPr>
          <w:rFonts w:ascii="Times New Roman" w:eastAsia="Times New Roman" w:hAnsi="Times New Roman" w:cs="Times New Roman"/>
          <w:sz w:val="24"/>
          <w:szCs w:val="24"/>
        </w:rPr>
        <w:t xml:space="preserve"> </w:t>
      </w:r>
      <w:r w:rsidR="7DA2E07C" w:rsidRPr="070233B9">
        <w:rPr>
          <w:rFonts w:ascii="Times New Roman" w:eastAsia="Times New Roman" w:hAnsi="Times New Roman" w:cs="Times New Roman"/>
          <w:sz w:val="24"/>
          <w:szCs w:val="24"/>
        </w:rPr>
        <w:t xml:space="preserve">880 </w:t>
      </w:r>
      <w:r w:rsidRPr="070233B9">
        <w:rPr>
          <w:rFonts w:ascii="Times New Roman" w:eastAsia="Times New Roman" w:hAnsi="Times New Roman" w:cs="Times New Roman"/>
          <w:sz w:val="24"/>
          <w:szCs w:val="24"/>
        </w:rPr>
        <w:t>transporto priemonių užsaky</w:t>
      </w:r>
      <w:r w:rsidR="69FDC2EB" w:rsidRPr="070233B9">
        <w:rPr>
          <w:rFonts w:ascii="Times New Roman" w:eastAsia="Times New Roman" w:hAnsi="Times New Roman" w:cs="Times New Roman"/>
          <w:sz w:val="24"/>
          <w:szCs w:val="24"/>
        </w:rPr>
        <w:t>mų</w:t>
      </w:r>
      <w:r w:rsidR="2C09B3D4" w:rsidRPr="070233B9">
        <w:rPr>
          <w:rFonts w:ascii="Times New Roman" w:eastAsia="Times New Roman" w:hAnsi="Times New Roman" w:cs="Times New Roman"/>
          <w:sz w:val="24"/>
          <w:szCs w:val="24"/>
        </w:rPr>
        <w:t>.</w:t>
      </w:r>
      <w:r w:rsidRPr="070233B9">
        <w:rPr>
          <w:rFonts w:ascii="Times New Roman" w:eastAsia="Times New Roman" w:hAnsi="Times New Roman" w:cs="Times New Roman"/>
          <w:sz w:val="24"/>
          <w:szCs w:val="24"/>
        </w:rPr>
        <w:t xml:space="preserve"> </w:t>
      </w:r>
    </w:p>
    <w:p w14:paraId="1FDA3497" w14:textId="77777777" w:rsidR="008C19D1" w:rsidRPr="00635295" w:rsidRDefault="008C19D1" w:rsidP="007A5062">
      <w:pPr>
        <w:spacing w:line="276" w:lineRule="auto"/>
        <w:ind w:firstLine="709"/>
        <w:jc w:val="both"/>
        <w:rPr>
          <w:rFonts w:ascii="Times New Roman" w:hAnsi="Times New Roman" w:cs="Times New Roman"/>
        </w:rPr>
      </w:pPr>
    </w:p>
    <w:p w14:paraId="72A42902" w14:textId="1120449F" w:rsidR="00EE3319" w:rsidRPr="00EF5695" w:rsidRDefault="00EE3319" w:rsidP="007A5062">
      <w:pPr>
        <w:spacing w:line="276" w:lineRule="auto"/>
        <w:ind w:firstLine="709"/>
        <w:jc w:val="center"/>
        <w:rPr>
          <w:rFonts w:ascii="Times New Roman" w:hAnsi="Times New Roman" w:cs="Times New Roman"/>
          <w:b/>
          <w:bCs/>
          <w:sz w:val="24"/>
          <w:szCs w:val="24"/>
        </w:rPr>
      </w:pPr>
      <w:bookmarkStart w:id="1" w:name="_Hlk158110379"/>
      <w:r w:rsidRPr="00EF5695">
        <w:rPr>
          <w:rFonts w:ascii="Times New Roman" w:hAnsi="Times New Roman" w:cs="Times New Roman"/>
          <w:b/>
          <w:bCs/>
          <w:sz w:val="24"/>
          <w:szCs w:val="24"/>
          <w:highlight w:val="lightGray"/>
        </w:rPr>
        <w:t>Darbuotojų saugos, sveikatos, civilinės ir priešgaisrinės saugos priemonių įgyvendinimo užtikrinimas</w:t>
      </w:r>
    </w:p>
    <w:p w14:paraId="1DF55158" w14:textId="77777777" w:rsidR="008C19D1" w:rsidRPr="00EF5695" w:rsidRDefault="008C19D1" w:rsidP="007A5062">
      <w:pPr>
        <w:spacing w:line="276" w:lineRule="auto"/>
        <w:ind w:firstLine="709"/>
        <w:jc w:val="center"/>
        <w:rPr>
          <w:rFonts w:ascii="Times New Roman" w:hAnsi="Times New Roman" w:cs="Times New Roman"/>
          <w:b/>
          <w:bCs/>
          <w:sz w:val="24"/>
          <w:szCs w:val="24"/>
        </w:rPr>
      </w:pPr>
    </w:p>
    <w:p w14:paraId="637E8C42" w14:textId="77777777" w:rsidR="00C83457" w:rsidRDefault="00EE3319" w:rsidP="070233B9">
      <w:pPr>
        <w:spacing w:line="276" w:lineRule="auto"/>
        <w:ind w:firstLine="709"/>
        <w:jc w:val="both"/>
        <w:rPr>
          <w:rFonts w:ascii="Times New Roman" w:hAnsi="Times New Roman" w:cs="Times New Roman"/>
          <w:sz w:val="24"/>
          <w:szCs w:val="24"/>
        </w:rPr>
      </w:pPr>
      <w:r w:rsidRPr="00EF5695">
        <w:rPr>
          <w:rFonts w:ascii="Times New Roman" w:hAnsi="Times New Roman" w:cs="Times New Roman"/>
          <w:sz w:val="24"/>
          <w:szCs w:val="24"/>
        </w:rPr>
        <w:tab/>
      </w:r>
      <w:bookmarkEnd w:id="1"/>
      <w:r w:rsidR="56825CE2">
        <w:rPr>
          <w:rFonts w:ascii="Times New Roman" w:hAnsi="Times New Roman" w:cs="Times New Roman"/>
          <w:sz w:val="24"/>
          <w:szCs w:val="24"/>
        </w:rPr>
        <w:t>A</w:t>
      </w:r>
      <w:r w:rsidR="56825CE2" w:rsidRPr="00EF5695">
        <w:rPr>
          <w:rFonts w:ascii="Times New Roman" w:hAnsi="Times New Roman" w:cs="Times New Roman"/>
          <w:sz w:val="24"/>
          <w:szCs w:val="24"/>
        </w:rPr>
        <w:t xml:space="preserve">gentūros </w:t>
      </w:r>
      <w:r w:rsidR="5705ED90" w:rsidRPr="00EF5695">
        <w:rPr>
          <w:rFonts w:ascii="Times New Roman" w:hAnsi="Times New Roman" w:cs="Times New Roman"/>
          <w:sz w:val="24"/>
          <w:szCs w:val="24"/>
        </w:rPr>
        <w:t>Veiklos administravimo skyrius</w:t>
      </w:r>
      <w:r w:rsidR="56825CE2">
        <w:rPr>
          <w:rFonts w:ascii="Times New Roman" w:hAnsi="Times New Roman" w:cs="Times New Roman"/>
          <w:sz w:val="24"/>
          <w:szCs w:val="24"/>
        </w:rPr>
        <w:t>,</w:t>
      </w:r>
      <w:r w:rsidR="5705ED90" w:rsidRPr="00EF5695">
        <w:rPr>
          <w:rFonts w:ascii="Times New Roman" w:hAnsi="Times New Roman" w:cs="Times New Roman"/>
          <w:sz w:val="24"/>
          <w:szCs w:val="24"/>
        </w:rPr>
        <w:t xml:space="preserve"> pagal kompetenciją vykdydamas funkcijas darbuotojų, saugos, sveikatos, civilinės ir priešgaisrinės saugos srityje, ataskaitiniu laikotarpiu organizavo </w:t>
      </w:r>
      <w:r w:rsidR="5921C501" w:rsidRPr="00EF5695">
        <w:rPr>
          <w:rFonts w:ascii="Times New Roman" w:hAnsi="Times New Roman" w:cs="Times New Roman"/>
          <w:sz w:val="24"/>
          <w:szCs w:val="24"/>
        </w:rPr>
        <w:t xml:space="preserve"> </w:t>
      </w:r>
      <w:r w:rsidR="18043EF5" w:rsidRPr="00EF5695">
        <w:rPr>
          <w:rFonts w:ascii="Times New Roman" w:hAnsi="Times New Roman" w:cs="Times New Roman"/>
          <w:sz w:val="24"/>
          <w:szCs w:val="24"/>
        </w:rPr>
        <w:t xml:space="preserve">pirmosios pagalbos </w:t>
      </w:r>
      <w:r w:rsidR="5705ED90" w:rsidRPr="00EF5695">
        <w:rPr>
          <w:rFonts w:ascii="Times New Roman" w:hAnsi="Times New Roman" w:cs="Times New Roman"/>
          <w:sz w:val="24"/>
          <w:szCs w:val="24"/>
        </w:rPr>
        <w:t>mokymus Lietuvos Respublikos vidaus reikalų ministerijos</w:t>
      </w:r>
      <w:r w:rsidR="238895AC">
        <w:rPr>
          <w:rFonts w:ascii="Times New Roman" w:hAnsi="Times New Roman" w:cs="Times New Roman"/>
          <w:sz w:val="24"/>
          <w:szCs w:val="24"/>
        </w:rPr>
        <w:t xml:space="preserve"> </w:t>
      </w:r>
      <w:r w:rsidR="5705ED90" w:rsidRPr="00EF5695">
        <w:rPr>
          <w:rFonts w:ascii="Times New Roman" w:hAnsi="Times New Roman" w:cs="Times New Roman"/>
          <w:sz w:val="24"/>
          <w:szCs w:val="24"/>
        </w:rPr>
        <w:t>ir įstaigų prie Ministerijos, kurių buveinė yra administraciniame pastate Šventaragio g. 2, Vilniuje, valstybės tarnautoj</w:t>
      </w:r>
      <w:r w:rsidR="1466CBDE" w:rsidRPr="00EF5695">
        <w:rPr>
          <w:rFonts w:ascii="Times New Roman" w:hAnsi="Times New Roman" w:cs="Times New Roman"/>
          <w:sz w:val="24"/>
          <w:szCs w:val="24"/>
        </w:rPr>
        <w:t>ams</w:t>
      </w:r>
      <w:r w:rsidR="5705ED90" w:rsidRPr="00EF5695">
        <w:rPr>
          <w:rFonts w:ascii="Times New Roman" w:hAnsi="Times New Roman" w:cs="Times New Roman"/>
          <w:sz w:val="24"/>
          <w:szCs w:val="24"/>
        </w:rPr>
        <w:t xml:space="preserve"> ir darbuotoj</w:t>
      </w:r>
      <w:r w:rsidR="339427F5" w:rsidRPr="00EF5695">
        <w:rPr>
          <w:rFonts w:ascii="Times New Roman" w:hAnsi="Times New Roman" w:cs="Times New Roman"/>
          <w:sz w:val="24"/>
          <w:szCs w:val="24"/>
        </w:rPr>
        <w:t>ams</w:t>
      </w:r>
      <w:r w:rsidR="5705ED90" w:rsidRPr="00EF5695">
        <w:rPr>
          <w:rFonts w:ascii="Times New Roman" w:hAnsi="Times New Roman" w:cs="Times New Roman"/>
          <w:sz w:val="24"/>
          <w:szCs w:val="24"/>
        </w:rPr>
        <w:t>, dirban</w:t>
      </w:r>
      <w:r w:rsidR="782B63D5" w:rsidRPr="00EF5695">
        <w:rPr>
          <w:rFonts w:ascii="Times New Roman" w:hAnsi="Times New Roman" w:cs="Times New Roman"/>
          <w:sz w:val="24"/>
          <w:szCs w:val="24"/>
        </w:rPr>
        <w:t>tiems</w:t>
      </w:r>
      <w:r w:rsidR="5705ED90" w:rsidRPr="00EF5695">
        <w:rPr>
          <w:rFonts w:ascii="Times New Roman" w:hAnsi="Times New Roman" w:cs="Times New Roman"/>
          <w:sz w:val="24"/>
          <w:szCs w:val="24"/>
        </w:rPr>
        <w:t xml:space="preserve"> pagal darbo sutartis</w:t>
      </w:r>
      <w:r w:rsidR="593ACD06" w:rsidRPr="00EF5695">
        <w:rPr>
          <w:rFonts w:ascii="Times New Roman" w:hAnsi="Times New Roman" w:cs="Times New Roman"/>
          <w:sz w:val="24"/>
          <w:szCs w:val="24"/>
        </w:rPr>
        <w:t>.</w:t>
      </w:r>
      <w:r w:rsidR="5705ED90" w:rsidRPr="00EF5695">
        <w:rPr>
          <w:rFonts w:ascii="Times New Roman" w:hAnsi="Times New Roman" w:cs="Times New Roman"/>
          <w:sz w:val="24"/>
          <w:szCs w:val="24"/>
        </w:rPr>
        <w:t xml:space="preserve"> </w:t>
      </w:r>
    </w:p>
    <w:p w14:paraId="552B9674" w14:textId="77777777" w:rsidR="00C83457" w:rsidRDefault="5BB89DCF" w:rsidP="070233B9">
      <w:pPr>
        <w:spacing w:line="276" w:lineRule="auto"/>
        <w:ind w:firstLine="709"/>
        <w:jc w:val="both"/>
        <w:rPr>
          <w:rFonts w:ascii="Times New Roman" w:hAnsi="Times New Roman" w:cs="Times New Roman"/>
          <w:sz w:val="24"/>
          <w:szCs w:val="24"/>
        </w:rPr>
      </w:pPr>
      <w:r w:rsidRPr="00EF5695">
        <w:rPr>
          <w:rFonts w:ascii="Times New Roman" w:hAnsi="Times New Roman" w:cs="Times New Roman"/>
          <w:sz w:val="24"/>
          <w:szCs w:val="24"/>
        </w:rPr>
        <w:t xml:space="preserve">Nelaimingų atsitikimų </w:t>
      </w:r>
      <w:r w:rsidR="33C1CA80" w:rsidRPr="00EF5695">
        <w:rPr>
          <w:rFonts w:ascii="Times New Roman" w:hAnsi="Times New Roman" w:cs="Times New Roman"/>
          <w:sz w:val="24"/>
          <w:szCs w:val="24"/>
        </w:rPr>
        <w:t xml:space="preserve">pakeliui į/iš darbo </w:t>
      </w:r>
      <w:r w:rsidRPr="00EF5695">
        <w:rPr>
          <w:rFonts w:ascii="Times New Roman" w:hAnsi="Times New Roman" w:cs="Times New Roman"/>
          <w:sz w:val="24"/>
          <w:szCs w:val="24"/>
        </w:rPr>
        <w:t>2025 m. nefiksuota.</w:t>
      </w:r>
    </w:p>
    <w:p w14:paraId="6D9AF252" w14:textId="31002DA8" w:rsidR="5705ED90" w:rsidRDefault="5705ED90" w:rsidP="070233B9">
      <w:pPr>
        <w:spacing w:line="276" w:lineRule="auto"/>
        <w:ind w:firstLine="709"/>
        <w:jc w:val="both"/>
        <w:rPr>
          <w:rFonts w:ascii="Times New Roman" w:hAnsi="Times New Roman" w:cs="Times New Roman"/>
          <w:sz w:val="24"/>
          <w:szCs w:val="24"/>
        </w:rPr>
      </w:pPr>
      <w:r w:rsidRPr="070233B9">
        <w:rPr>
          <w:rFonts w:ascii="Times New Roman" w:hAnsi="Times New Roman" w:cs="Times New Roman"/>
          <w:sz w:val="24"/>
          <w:szCs w:val="24"/>
        </w:rPr>
        <w:t xml:space="preserve">Taip pat </w:t>
      </w:r>
      <w:r w:rsidR="4FAFE982" w:rsidRPr="070233B9">
        <w:rPr>
          <w:rFonts w:ascii="Times New Roman" w:hAnsi="Times New Roman" w:cs="Times New Roman"/>
          <w:sz w:val="24"/>
          <w:szCs w:val="24"/>
        </w:rPr>
        <w:t>Agentūros</w:t>
      </w:r>
      <w:r w:rsidRPr="070233B9">
        <w:rPr>
          <w:rFonts w:ascii="Times New Roman" w:hAnsi="Times New Roman" w:cs="Times New Roman"/>
          <w:sz w:val="24"/>
          <w:szCs w:val="24"/>
        </w:rPr>
        <w:t xml:space="preserve"> iniciatyva buvo organizuota ir </w:t>
      </w:r>
      <w:r w:rsidR="00C83457">
        <w:rPr>
          <w:rFonts w:ascii="Times New Roman" w:hAnsi="Times New Roman" w:cs="Times New Roman"/>
          <w:sz w:val="24"/>
          <w:szCs w:val="24"/>
        </w:rPr>
        <w:t>Vidaus reikalų m</w:t>
      </w:r>
      <w:r w:rsidRPr="070233B9">
        <w:rPr>
          <w:rFonts w:ascii="Times New Roman" w:hAnsi="Times New Roman" w:cs="Times New Roman"/>
          <w:sz w:val="24"/>
          <w:szCs w:val="24"/>
        </w:rPr>
        <w:t xml:space="preserve">inisterijos ir įstaigų prie </w:t>
      </w:r>
      <w:r w:rsidR="00C83457">
        <w:rPr>
          <w:rFonts w:ascii="Times New Roman" w:hAnsi="Times New Roman" w:cs="Times New Roman"/>
          <w:sz w:val="24"/>
          <w:szCs w:val="24"/>
        </w:rPr>
        <w:t>Vidaus reikalų m</w:t>
      </w:r>
      <w:r w:rsidRPr="070233B9">
        <w:rPr>
          <w:rFonts w:ascii="Times New Roman" w:hAnsi="Times New Roman" w:cs="Times New Roman"/>
          <w:sz w:val="24"/>
          <w:szCs w:val="24"/>
        </w:rPr>
        <w:t>inisterijos valstybės tarnautojai ir darbuotojai nuotoliniu būdu baigė Ugniagesių ir gelbėtojų mokykloje vykdomus mokymus pagal tipinę valstybės tarnautojų ir darbuotojų civilinės saugos mokymo programą.</w:t>
      </w:r>
    </w:p>
    <w:p w14:paraId="47E244A1" w14:textId="01097D01" w:rsidR="070233B9" w:rsidRPr="00C83457" w:rsidRDefault="1FEB8CC4" w:rsidP="00C83457">
      <w:pPr>
        <w:pStyle w:val="Sraopastraipa"/>
        <w:spacing w:line="276" w:lineRule="auto"/>
        <w:ind w:left="0" w:firstLine="709"/>
        <w:jc w:val="both"/>
        <w:rPr>
          <w:rFonts w:ascii="Times New Roman" w:eastAsia="Times New Roman" w:hAnsi="Times New Roman" w:cs="Times New Roman"/>
          <w:sz w:val="24"/>
          <w:szCs w:val="24"/>
        </w:rPr>
      </w:pPr>
      <w:r w:rsidRPr="070233B9">
        <w:rPr>
          <w:rFonts w:ascii="Times New Roman" w:hAnsi="Times New Roman" w:cs="Times New Roman"/>
          <w:sz w:val="24"/>
          <w:szCs w:val="24"/>
        </w:rPr>
        <w:t xml:space="preserve">Įgyvendinant </w:t>
      </w:r>
      <w:r w:rsidRPr="070233B9">
        <w:rPr>
          <w:rFonts w:ascii="Times New Roman" w:eastAsia="Times New Roman" w:hAnsi="Times New Roman" w:cs="Times New Roman"/>
          <w:color w:val="000000" w:themeColor="text1"/>
          <w:sz w:val="24"/>
          <w:szCs w:val="24"/>
        </w:rPr>
        <w:t xml:space="preserve">Lietuvos Respublikos krizių valdymo ir civilinės saugos įstatymo, </w:t>
      </w:r>
      <w:r w:rsidRPr="070233B9">
        <w:rPr>
          <w:rFonts w:ascii="Times New Roman" w:eastAsia="Times New Roman" w:hAnsi="Times New Roman" w:cs="Times New Roman"/>
          <w:sz w:val="24"/>
          <w:szCs w:val="24"/>
        </w:rPr>
        <w:t>Krizių valdymo ir civilinės saugos pratybų organizavimo tvarkos apraš</w:t>
      </w:r>
      <w:r w:rsidR="4FC4AFAD" w:rsidRPr="070233B9">
        <w:rPr>
          <w:rFonts w:ascii="Times New Roman" w:eastAsia="Times New Roman" w:hAnsi="Times New Roman" w:cs="Times New Roman"/>
          <w:sz w:val="24"/>
          <w:szCs w:val="24"/>
        </w:rPr>
        <w:t>o</w:t>
      </w:r>
      <w:r w:rsidRPr="070233B9">
        <w:rPr>
          <w:rFonts w:ascii="Times New Roman" w:eastAsia="Times New Roman" w:hAnsi="Times New Roman" w:cs="Times New Roman"/>
          <w:sz w:val="24"/>
          <w:szCs w:val="24"/>
        </w:rPr>
        <w:t>, patvirtinto Lietuvos Respublikos Vyriausybės 2022 m. gruodžio 29 d. nutarimu Nr. 1317 (Lietuvos Respublikos Vyriausybės 2024 m. birželio 12 d. nutarimo Nr. 470 redakcija), nuostatas</w:t>
      </w:r>
      <w:r w:rsidR="624BD2D1" w:rsidRPr="070233B9">
        <w:rPr>
          <w:rFonts w:ascii="Times New Roman" w:eastAsia="Times New Roman" w:hAnsi="Times New Roman" w:cs="Times New Roman"/>
          <w:sz w:val="24"/>
          <w:szCs w:val="24"/>
        </w:rPr>
        <w:t>, organizuotos evakuacijos iš Vidaus reikalų ministerijos pastato  pratybos.</w:t>
      </w:r>
    </w:p>
    <w:p w14:paraId="0AE8ADEB" w14:textId="460CF9C0" w:rsidR="279DF77E" w:rsidRDefault="279DF77E" w:rsidP="00232659">
      <w:pPr>
        <w:spacing w:line="276" w:lineRule="auto"/>
        <w:ind w:firstLine="851"/>
        <w:jc w:val="both"/>
        <w:rPr>
          <w:rFonts w:ascii="Times New Roman" w:eastAsia="Times New Roman" w:hAnsi="Times New Roman" w:cs="Times New Roman"/>
          <w:sz w:val="24"/>
          <w:szCs w:val="24"/>
        </w:rPr>
      </w:pPr>
      <w:r w:rsidRPr="070233B9">
        <w:rPr>
          <w:rFonts w:ascii="Times New Roman" w:eastAsia="Times New Roman" w:hAnsi="Times New Roman" w:cs="Times New Roman"/>
          <w:color w:val="000000" w:themeColor="text1"/>
          <w:sz w:val="24"/>
          <w:szCs w:val="24"/>
        </w:rPr>
        <w:t>Įsigaliojus Lietuvos Respublikos mobilizacijos ir priimančiosios šalies paramos įstatymo pakeitimo ir Įstatymo papildymo nuostatoms bei siekiant</w:t>
      </w:r>
      <w:r w:rsidR="74118F98" w:rsidRPr="070233B9">
        <w:rPr>
          <w:rFonts w:ascii="Times New Roman" w:eastAsia="Times New Roman" w:hAnsi="Times New Roman" w:cs="Times New Roman"/>
          <w:color w:val="000000" w:themeColor="text1"/>
          <w:sz w:val="24"/>
          <w:szCs w:val="24"/>
        </w:rPr>
        <w:t xml:space="preserve"> suteikti bazinių žinių apie mobilizacijos teisinį režimą, pasirengimą mobilizacijai ir karo padėčiai, mobilizacijos sistemos veikimo ir </w:t>
      </w:r>
      <w:r w:rsidR="74118F98" w:rsidRPr="070233B9">
        <w:rPr>
          <w:rFonts w:ascii="Times New Roman" w:eastAsia="Times New Roman" w:hAnsi="Times New Roman" w:cs="Times New Roman"/>
          <w:color w:val="000000" w:themeColor="text1"/>
          <w:sz w:val="24"/>
          <w:szCs w:val="24"/>
        </w:rPr>
        <w:lastRenderedPageBreak/>
        <w:t xml:space="preserve">priimančiosios šalies paramos teikimo principus ir pilietinį pasipriešinimą, Agentūros </w:t>
      </w:r>
      <w:r w:rsidR="000C1ED6">
        <w:rPr>
          <w:rFonts w:ascii="Times New Roman" w:eastAsia="Times New Roman" w:hAnsi="Times New Roman" w:cs="Times New Roman"/>
          <w:color w:val="000000" w:themeColor="text1"/>
          <w:sz w:val="24"/>
          <w:szCs w:val="24"/>
        </w:rPr>
        <w:t xml:space="preserve">valstybės tarnautojai ir </w:t>
      </w:r>
      <w:r w:rsidR="74118F98" w:rsidRPr="070233B9">
        <w:rPr>
          <w:rFonts w:ascii="Times New Roman" w:eastAsia="Times New Roman" w:hAnsi="Times New Roman" w:cs="Times New Roman"/>
          <w:color w:val="000000" w:themeColor="text1"/>
          <w:sz w:val="24"/>
          <w:szCs w:val="24"/>
        </w:rPr>
        <w:t>darbuotojai</w:t>
      </w:r>
      <w:r w:rsidR="000C1ED6">
        <w:rPr>
          <w:rFonts w:ascii="Times New Roman" w:eastAsia="Times New Roman" w:hAnsi="Times New Roman" w:cs="Times New Roman"/>
          <w:color w:val="000000" w:themeColor="text1"/>
          <w:sz w:val="24"/>
          <w:szCs w:val="24"/>
        </w:rPr>
        <w:t>, dirbantys pagal darbo sutartis,</w:t>
      </w:r>
      <w:r w:rsidR="74118F98" w:rsidRPr="070233B9">
        <w:rPr>
          <w:rFonts w:ascii="Times New Roman" w:eastAsia="Times New Roman" w:hAnsi="Times New Roman" w:cs="Times New Roman"/>
          <w:color w:val="000000" w:themeColor="text1"/>
          <w:sz w:val="24"/>
          <w:szCs w:val="24"/>
        </w:rPr>
        <w:t xml:space="preserve"> įrašyti</w:t>
      </w:r>
      <w:r w:rsidR="74118F98" w:rsidRPr="070233B9">
        <w:rPr>
          <w:rFonts w:ascii="Times New Roman" w:eastAsia="Times New Roman" w:hAnsi="Times New Roman" w:cs="Times New Roman"/>
          <w:sz w:val="24"/>
          <w:szCs w:val="24"/>
        </w:rPr>
        <w:t xml:space="preserve"> į civilinio mobilizacinio personalo rezervą</w:t>
      </w:r>
      <w:r w:rsidR="000C1ED6">
        <w:rPr>
          <w:rFonts w:ascii="Times New Roman" w:eastAsia="Times New Roman" w:hAnsi="Times New Roman" w:cs="Times New Roman"/>
          <w:sz w:val="24"/>
          <w:szCs w:val="24"/>
        </w:rPr>
        <w:t xml:space="preserve"> bei</w:t>
      </w:r>
      <w:r w:rsidR="0F8DA687" w:rsidRPr="070233B9">
        <w:rPr>
          <w:rFonts w:ascii="Times New Roman" w:eastAsia="Times New Roman" w:hAnsi="Times New Roman" w:cs="Times New Roman"/>
          <w:sz w:val="24"/>
          <w:szCs w:val="24"/>
        </w:rPr>
        <w:t xml:space="preserve"> išklausė mobilizacijos ir pilietinio pasipriešinimo mokymus.</w:t>
      </w:r>
    </w:p>
    <w:p w14:paraId="71F2E51E" w14:textId="77C781F1" w:rsidR="00720084" w:rsidRPr="00EF5695" w:rsidRDefault="619FB3CB" w:rsidP="00C83457">
      <w:pPr>
        <w:spacing w:line="276" w:lineRule="auto"/>
        <w:ind w:firstLine="709"/>
        <w:jc w:val="both"/>
        <w:rPr>
          <w:rFonts w:ascii="Times New Roman" w:hAnsi="Times New Roman" w:cs="Times New Roman"/>
          <w:sz w:val="24"/>
          <w:szCs w:val="24"/>
        </w:rPr>
      </w:pPr>
      <w:r w:rsidRPr="00EF5695">
        <w:rPr>
          <w:rFonts w:ascii="Times New Roman" w:hAnsi="Times New Roman" w:cs="Times New Roman"/>
          <w:sz w:val="24"/>
          <w:szCs w:val="24"/>
        </w:rPr>
        <w:t>Agentūra</w:t>
      </w:r>
      <w:r w:rsidR="00D97105">
        <w:rPr>
          <w:rFonts w:ascii="Times New Roman" w:hAnsi="Times New Roman" w:cs="Times New Roman"/>
          <w:sz w:val="24"/>
          <w:szCs w:val="24"/>
        </w:rPr>
        <w:t>,</w:t>
      </w:r>
      <w:r w:rsidRPr="00EF5695">
        <w:rPr>
          <w:rFonts w:ascii="Times New Roman" w:hAnsi="Times New Roman" w:cs="Times New Roman"/>
          <w:sz w:val="24"/>
          <w:szCs w:val="24"/>
        </w:rPr>
        <w:t xml:space="preserve"> </w:t>
      </w:r>
      <w:r w:rsidR="00720084" w:rsidRPr="00EF5695">
        <w:rPr>
          <w:rFonts w:ascii="Times New Roman" w:hAnsi="Times New Roman" w:cs="Times New Roman"/>
          <w:sz w:val="24"/>
          <w:szCs w:val="24"/>
        </w:rPr>
        <w:t>užtikrindama priemonių priešgaisrinei saugai užtikrinti įgyvendinimą, atliko gesintuvų patikrą, pagal poreikį įsigijo naujus bei kitas būtinas priemones.</w:t>
      </w:r>
    </w:p>
    <w:p w14:paraId="0E4C9A86" w14:textId="77777777" w:rsidR="00720084" w:rsidRPr="00EF5695" w:rsidRDefault="00720084" w:rsidP="007A5062">
      <w:pPr>
        <w:spacing w:line="276" w:lineRule="auto"/>
        <w:ind w:firstLine="709"/>
        <w:jc w:val="both"/>
        <w:rPr>
          <w:rFonts w:ascii="Times New Roman" w:hAnsi="Times New Roman" w:cs="Times New Roman"/>
          <w:sz w:val="24"/>
          <w:szCs w:val="24"/>
        </w:rPr>
      </w:pPr>
      <w:r w:rsidRPr="00EF5695">
        <w:rPr>
          <w:rFonts w:ascii="Times New Roman" w:hAnsi="Times New Roman" w:cs="Times New Roman"/>
          <w:sz w:val="24"/>
          <w:szCs w:val="24"/>
        </w:rPr>
        <w:t>Siekiant tinkamo darbuotojų informavimo, administracinio pastato Šventaragio g. 2, Vilniuje, teritorija aprūpinta informaciniais ženklais (nukreipiamaisiais, įspėjamaisiais, draudžiamaisiais ir pan.).</w:t>
      </w:r>
    </w:p>
    <w:p w14:paraId="48232E7D" w14:textId="77777777" w:rsidR="000C1ED6" w:rsidRDefault="3504A6D9" w:rsidP="007A5062">
      <w:pPr>
        <w:spacing w:line="276" w:lineRule="auto"/>
        <w:ind w:firstLine="709"/>
        <w:jc w:val="both"/>
        <w:rPr>
          <w:rFonts w:ascii="Times New Roman" w:hAnsi="Times New Roman" w:cs="Times New Roman"/>
          <w:sz w:val="24"/>
          <w:szCs w:val="24"/>
        </w:rPr>
      </w:pPr>
      <w:r w:rsidRPr="00EF5695">
        <w:rPr>
          <w:rFonts w:ascii="Times New Roman" w:hAnsi="Times New Roman" w:cs="Times New Roman"/>
          <w:sz w:val="24"/>
          <w:szCs w:val="24"/>
        </w:rPr>
        <w:t>Agentūra</w:t>
      </w:r>
      <w:r w:rsidR="00720084" w:rsidRPr="00EF5695">
        <w:rPr>
          <w:rFonts w:ascii="Times New Roman" w:hAnsi="Times New Roman" w:cs="Times New Roman"/>
          <w:sz w:val="24"/>
          <w:szCs w:val="24"/>
        </w:rPr>
        <w:t xml:space="preserve">, įgyvendindama darbuotojų saugos ir sveikatos užtikrinimo priemones, nuolatos supažindina </w:t>
      </w:r>
      <w:r w:rsidR="000C1ED6">
        <w:rPr>
          <w:rFonts w:ascii="Times New Roman" w:hAnsi="Times New Roman" w:cs="Times New Roman"/>
          <w:sz w:val="24"/>
          <w:szCs w:val="24"/>
        </w:rPr>
        <w:t>Vidaus reikalų m</w:t>
      </w:r>
      <w:r w:rsidR="00720084" w:rsidRPr="00EF5695">
        <w:rPr>
          <w:rFonts w:ascii="Times New Roman" w:hAnsi="Times New Roman" w:cs="Times New Roman"/>
          <w:sz w:val="24"/>
          <w:szCs w:val="24"/>
        </w:rPr>
        <w:t xml:space="preserve">inisterijos administracijos padalinių ir </w:t>
      </w:r>
      <w:r w:rsidR="6A728EC9" w:rsidRPr="00EF5695">
        <w:rPr>
          <w:rFonts w:ascii="Times New Roman" w:hAnsi="Times New Roman" w:cs="Times New Roman"/>
          <w:sz w:val="24"/>
          <w:szCs w:val="24"/>
        </w:rPr>
        <w:t>Agentūros</w:t>
      </w:r>
      <w:r w:rsidR="000C1ED6">
        <w:rPr>
          <w:rFonts w:ascii="Times New Roman" w:hAnsi="Times New Roman" w:cs="Times New Roman"/>
          <w:sz w:val="24"/>
          <w:szCs w:val="24"/>
        </w:rPr>
        <w:t xml:space="preserve"> valstybės tarnautojus ir</w:t>
      </w:r>
      <w:r w:rsidR="00720084" w:rsidRPr="00EF5695">
        <w:rPr>
          <w:rFonts w:ascii="Times New Roman" w:hAnsi="Times New Roman" w:cs="Times New Roman"/>
          <w:sz w:val="24"/>
          <w:szCs w:val="24"/>
        </w:rPr>
        <w:t xml:space="preserve"> darbuotojus</w:t>
      </w:r>
      <w:r w:rsidR="000C1ED6">
        <w:rPr>
          <w:rFonts w:ascii="Times New Roman" w:hAnsi="Times New Roman" w:cs="Times New Roman"/>
          <w:sz w:val="24"/>
          <w:szCs w:val="24"/>
        </w:rPr>
        <w:t>, dirbančius pagal darbo sutartis,</w:t>
      </w:r>
      <w:r w:rsidR="00720084" w:rsidRPr="00EF5695">
        <w:rPr>
          <w:rFonts w:ascii="Times New Roman" w:hAnsi="Times New Roman" w:cs="Times New Roman"/>
          <w:sz w:val="24"/>
          <w:szCs w:val="24"/>
        </w:rPr>
        <w:t xml:space="preserve"> su saugos ir sveikatos instrukcijomis ir evakavimo planais. </w:t>
      </w:r>
    </w:p>
    <w:p w14:paraId="120DD160" w14:textId="77777777" w:rsidR="000C1ED6" w:rsidRDefault="00720084" w:rsidP="007A5062">
      <w:pPr>
        <w:spacing w:line="276" w:lineRule="auto"/>
        <w:ind w:firstLine="709"/>
        <w:jc w:val="both"/>
        <w:rPr>
          <w:rFonts w:ascii="Times New Roman" w:hAnsi="Times New Roman" w:cs="Times New Roman"/>
          <w:sz w:val="24"/>
          <w:szCs w:val="24"/>
        </w:rPr>
      </w:pPr>
      <w:r w:rsidRPr="00EF5695">
        <w:rPr>
          <w:rFonts w:ascii="Times New Roman" w:hAnsi="Times New Roman" w:cs="Times New Roman"/>
          <w:sz w:val="24"/>
          <w:szCs w:val="24"/>
        </w:rPr>
        <w:t xml:space="preserve">Atliktas </w:t>
      </w:r>
      <w:r w:rsidR="47AF6C4F" w:rsidRPr="00EF5695">
        <w:rPr>
          <w:rFonts w:ascii="Times New Roman" w:hAnsi="Times New Roman" w:cs="Times New Roman"/>
          <w:sz w:val="24"/>
          <w:szCs w:val="24"/>
        </w:rPr>
        <w:t xml:space="preserve">Agentūros </w:t>
      </w:r>
      <w:r w:rsidRPr="00EF5695">
        <w:rPr>
          <w:rFonts w:ascii="Times New Roman" w:hAnsi="Times New Roman" w:cs="Times New Roman"/>
          <w:sz w:val="24"/>
          <w:szCs w:val="24"/>
        </w:rPr>
        <w:t xml:space="preserve">ir Ministerijos darbuotojų privalomas sveikatos patikrinimas. </w:t>
      </w:r>
    </w:p>
    <w:p w14:paraId="2BD0CC71" w14:textId="2D69D38D" w:rsidR="00720084" w:rsidRPr="00EF5695" w:rsidRDefault="00720084" w:rsidP="007A5062">
      <w:pPr>
        <w:spacing w:line="276" w:lineRule="auto"/>
        <w:ind w:firstLine="709"/>
        <w:jc w:val="both"/>
        <w:rPr>
          <w:rFonts w:ascii="Times New Roman" w:hAnsi="Times New Roman" w:cs="Times New Roman"/>
          <w:sz w:val="24"/>
          <w:szCs w:val="24"/>
        </w:rPr>
      </w:pPr>
      <w:r w:rsidRPr="00EF5695">
        <w:rPr>
          <w:rFonts w:ascii="Times New Roman" w:hAnsi="Times New Roman" w:cs="Times New Roman"/>
          <w:sz w:val="24"/>
          <w:szCs w:val="24"/>
        </w:rPr>
        <w:t xml:space="preserve">Atnaujintas </w:t>
      </w:r>
      <w:r w:rsidR="4FF4C237" w:rsidRPr="00EF5695">
        <w:rPr>
          <w:rFonts w:ascii="Times New Roman" w:hAnsi="Times New Roman" w:cs="Times New Roman"/>
          <w:sz w:val="24"/>
          <w:szCs w:val="24"/>
        </w:rPr>
        <w:t>Agentūros</w:t>
      </w:r>
      <w:r w:rsidRPr="00EF5695">
        <w:rPr>
          <w:rFonts w:ascii="Times New Roman" w:hAnsi="Times New Roman" w:cs="Times New Roman"/>
          <w:sz w:val="24"/>
          <w:szCs w:val="24"/>
        </w:rPr>
        <w:t xml:space="preserve"> valstybės tarnautojų ir darbuotojų, dirbančių pagal darbo sutartis, sveikatos patikrinimo grafikas</w:t>
      </w:r>
      <w:r w:rsidR="5A602736" w:rsidRPr="00EF5695">
        <w:rPr>
          <w:rFonts w:ascii="Times New Roman" w:hAnsi="Times New Roman" w:cs="Times New Roman"/>
          <w:sz w:val="24"/>
          <w:szCs w:val="24"/>
        </w:rPr>
        <w:t xml:space="preserve"> ir</w:t>
      </w:r>
      <w:r w:rsidRPr="00EF5695">
        <w:rPr>
          <w:rFonts w:ascii="Times New Roman" w:hAnsi="Times New Roman" w:cs="Times New Roman"/>
          <w:sz w:val="24"/>
          <w:szCs w:val="24"/>
        </w:rPr>
        <w:t xml:space="preserve"> </w:t>
      </w:r>
      <w:r w:rsidR="000C1ED6">
        <w:rPr>
          <w:rFonts w:ascii="Times New Roman" w:hAnsi="Times New Roman" w:cs="Times New Roman"/>
          <w:sz w:val="24"/>
          <w:szCs w:val="24"/>
        </w:rPr>
        <w:t>Vidaus reikalų m</w:t>
      </w:r>
      <w:r w:rsidRPr="00EF5695">
        <w:rPr>
          <w:rFonts w:ascii="Times New Roman" w:hAnsi="Times New Roman" w:cs="Times New Roman"/>
          <w:sz w:val="24"/>
          <w:szCs w:val="24"/>
        </w:rPr>
        <w:t>inisterijos valstybės tarnautojų ir darbuotojų, dirbančių pagal darbo sutartis, sveikatos patikrinimo grafikas, vykdyta jų kontrolė, užpildyti darbuotojų sveikatos pasai, nuolat kontroliuojamas darbuotojų privalomų sveikatos tikrinimų procesas.</w:t>
      </w:r>
    </w:p>
    <w:p w14:paraId="043FC2A7" w14:textId="2A457153" w:rsidR="00720084" w:rsidRPr="00EF5695" w:rsidRDefault="4E72335A" w:rsidP="007A5062">
      <w:pPr>
        <w:spacing w:line="276" w:lineRule="auto"/>
        <w:ind w:firstLine="709"/>
        <w:jc w:val="both"/>
        <w:rPr>
          <w:rFonts w:ascii="Times New Roman" w:hAnsi="Times New Roman" w:cs="Times New Roman"/>
          <w:sz w:val="24"/>
          <w:szCs w:val="24"/>
        </w:rPr>
      </w:pPr>
      <w:r w:rsidRPr="070233B9">
        <w:rPr>
          <w:rFonts w:ascii="Times New Roman" w:hAnsi="Times New Roman" w:cs="Times New Roman"/>
          <w:sz w:val="24"/>
          <w:szCs w:val="24"/>
        </w:rPr>
        <w:t>Agentūra</w:t>
      </w:r>
      <w:r w:rsidR="5705ED90" w:rsidRPr="070233B9">
        <w:rPr>
          <w:rFonts w:ascii="Times New Roman" w:hAnsi="Times New Roman" w:cs="Times New Roman"/>
          <w:sz w:val="24"/>
          <w:szCs w:val="24"/>
        </w:rPr>
        <w:t xml:space="preserve"> užtikrino nuolatinį, savalaikį </w:t>
      </w:r>
      <w:r w:rsidR="000C1ED6">
        <w:rPr>
          <w:rFonts w:ascii="Times New Roman" w:hAnsi="Times New Roman" w:cs="Times New Roman"/>
          <w:sz w:val="24"/>
          <w:szCs w:val="24"/>
        </w:rPr>
        <w:t>Vidaus reikalų m</w:t>
      </w:r>
      <w:r w:rsidR="5705ED90" w:rsidRPr="070233B9">
        <w:rPr>
          <w:rFonts w:ascii="Times New Roman" w:hAnsi="Times New Roman" w:cs="Times New Roman"/>
          <w:sz w:val="24"/>
          <w:szCs w:val="24"/>
        </w:rPr>
        <w:t xml:space="preserve">inisterijos ir </w:t>
      </w:r>
      <w:r w:rsidR="214CBAA5" w:rsidRPr="070233B9">
        <w:rPr>
          <w:rFonts w:ascii="Times New Roman" w:hAnsi="Times New Roman" w:cs="Times New Roman"/>
          <w:sz w:val="24"/>
          <w:szCs w:val="24"/>
        </w:rPr>
        <w:t>Agentūros</w:t>
      </w:r>
      <w:r w:rsidR="5705ED90" w:rsidRPr="070233B9">
        <w:rPr>
          <w:rFonts w:ascii="Times New Roman" w:hAnsi="Times New Roman" w:cs="Times New Roman"/>
          <w:sz w:val="24"/>
          <w:szCs w:val="24"/>
        </w:rPr>
        <w:t xml:space="preserve"> valstybės tarnautojų ir darbuotojų, dirbančių pagal darbo sutartis, aprūpinimą pagal poreikį asmeninėmis apsaugos priemonėmis (AAP), taikytinomis apsaugai nuo COVID-19 infekcijos. Įsigyta priemonių  koronaviruso (COVID-19) plitimo grėsmei mažinti – dezinfekcinis skystis, matomose vietose pakabinti laikikliai dezinfekciniam skysčiui laikyti, Sars CoV2 greitieji antigeno testai; apsauginės veido kaukės, respiratoriai (pagal poreikį išdalintos turimos vienkartinės medicininės apsauginės kaukės, respiratoriai, pirštinės),  užtikrintas dažnesnis patalpų valymas ir dezinfekavimas. </w:t>
      </w:r>
    </w:p>
    <w:p w14:paraId="1D1B2B9B" w14:textId="1FC23AA3" w:rsidR="00720084" w:rsidRPr="00EF5695" w:rsidRDefault="5705ED90" w:rsidP="007A5062">
      <w:pPr>
        <w:spacing w:line="276" w:lineRule="auto"/>
        <w:ind w:firstLine="709"/>
        <w:jc w:val="both"/>
        <w:rPr>
          <w:rFonts w:ascii="Times New Roman" w:hAnsi="Times New Roman" w:cs="Times New Roman"/>
          <w:sz w:val="24"/>
          <w:szCs w:val="24"/>
        </w:rPr>
      </w:pPr>
      <w:r w:rsidRPr="070233B9">
        <w:rPr>
          <w:rFonts w:ascii="Times New Roman" w:hAnsi="Times New Roman" w:cs="Times New Roman"/>
          <w:sz w:val="24"/>
          <w:szCs w:val="24"/>
        </w:rPr>
        <w:t xml:space="preserve">Organizuota ir atlikta </w:t>
      </w:r>
      <w:r w:rsidR="000C1ED6">
        <w:rPr>
          <w:rFonts w:ascii="Times New Roman" w:hAnsi="Times New Roman" w:cs="Times New Roman"/>
          <w:sz w:val="24"/>
          <w:szCs w:val="24"/>
        </w:rPr>
        <w:t>Vidaus reikalų m</w:t>
      </w:r>
      <w:r w:rsidR="605221D7" w:rsidRPr="070233B9">
        <w:rPr>
          <w:rFonts w:ascii="Times New Roman" w:hAnsi="Times New Roman" w:cs="Times New Roman"/>
          <w:sz w:val="24"/>
          <w:szCs w:val="24"/>
        </w:rPr>
        <w:t xml:space="preserve">inisterijos, </w:t>
      </w:r>
      <w:r w:rsidR="575CE9D9" w:rsidRPr="070233B9">
        <w:rPr>
          <w:rFonts w:ascii="Times New Roman" w:hAnsi="Times New Roman" w:cs="Times New Roman"/>
          <w:sz w:val="24"/>
          <w:szCs w:val="24"/>
        </w:rPr>
        <w:t>Agentūros</w:t>
      </w:r>
      <w:r w:rsidR="7AC80DE9" w:rsidRPr="070233B9">
        <w:rPr>
          <w:rFonts w:ascii="Times New Roman" w:hAnsi="Times New Roman" w:cs="Times New Roman"/>
          <w:sz w:val="24"/>
          <w:szCs w:val="24"/>
        </w:rPr>
        <w:t xml:space="preserve"> ir </w:t>
      </w:r>
      <w:r w:rsidR="00A61247">
        <w:rPr>
          <w:rFonts w:ascii="Times New Roman" w:hAnsi="Times New Roman" w:cs="Times New Roman"/>
          <w:sz w:val="24"/>
          <w:szCs w:val="24"/>
        </w:rPr>
        <w:t>IRD</w:t>
      </w:r>
      <w:r w:rsidRPr="070233B9">
        <w:rPr>
          <w:rFonts w:ascii="Times New Roman" w:hAnsi="Times New Roman" w:cs="Times New Roman"/>
          <w:sz w:val="24"/>
          <w:szCs w:val="24"/>
        </w:rPr>
        <w:t xml:space="preserve"> valstybės tarnautojų ir darbuotojų, dirbančių pagal darbo sutartis, registracija į Medicinos centrą atlikti (</w:t>
      </w:r>
      <w:proofErr w:type="spellStart"/>
      <w:r w:rsidRPr="070233B9">
        <w:rPr>
          <w:rFonts w:ascii="Times New Roman" w:hAnsi="Times New Roman" w:cs="Times New Roman"/>
          <w:sz w:val="24"/>
          <w:szCs w:val="24"/>
        </w:rPr>
        <w:t>re</w:t>
      </w:r>
      <w:proofErr w:type="spellEnd"/>
      <w:r w:rsidRPr="070233B9">
        <w:rPr>
          <w:rFonts w:ascii="Times New Roman" w:hAnsi="Times New Roman" w:cs="Times New Roman"/>
          <w:sz w:val="24"/>
          <w:szCs w:val="24"/>
        </w:rPr>
        <w:t xml:space="preserve">)vakcinacijai nuo COVID-19 ir gripo. </w:t>
      </w:r>
    </w:p>
    <w:p w14:paraId="735F219B" w14:textId="77777777" w:rsidR="00EE3319" w:rsidRPr="00EF5695" w:rsidRDefault="00EE3319" w:rsidP="007A5062">
      <w:pPr>
        <w:spacing w:line="276" w:lineRule="auto"/>
        <w:ind w:firstLine="709"/>
        <w:jc w:val="both"/>
        <w:rPr>
          <w:rFonts w:ascii="Times New Roman" w:hAnsi="Times New Roman" w:cs="Times New Roman"/>
          <w:sz w:val="24"/>
          <w:szCs w:val="24"/>
        </w:rPr>
      </w:pPr>
    </w:p>
    <w:p w14:paraId="23992455" w14:textId="77777777" w:rsidR="00EE3319" w:rsidRPr="00EF5695" w:rsidRDefault="00EE3319" w:rsidP="007A5062">
      <w:pPr>
        <w:spacing w:line="276" w:lineRule="auto"/>
        <w:ind w:firstLine="709"/>
        <w:jc w:val="center"/>
        <w:rPr>
          <w:rFonts w:ascii="Times New Roman" w:hAnsi="Times New Roman" w:cs="Times New Roman"/>
          <w:b/>
          <w:bCs/>
          <w:sz w:val="24"/>
          <w:szCs w:val="24"/>
        </w:rPr>
      </w:pPr>
      <w:r w:rsidRPr="00EF5695">
        <w:rPr>
          <w:rFonts w:ascii="Times New Roman" w:hAnsi="Times New Roman" w:cs="Times New Roman"/>
          <w:b/>
          <w:bCs/>
          <w:sz w:val="24"/>
          <w:szCs w:val="24"/>
          <w:highlight w:val="lightGray"/>
        </w:rPr>
        <w:t>Centralizuotas viešųjų pirkimų organizavimas ir atlikimas</w:t>
      </w:r>
    </w:p>
    <w:p w14:paraId="45138F72" w14:textId="77777777" w:rsidR="00EE3319" w:rsidRPr="00EF5695" w:rsidRDefault="00EE3319" w:rsidP="007A5062">
      <w:pPr>
        <w:spacing w:line="276" w:lineRule="auto"/>
        <w:ind w:firstLine="709"/>
        <w:jc w:val="both"/>
        <w:rPr>
          <w:rFonts w:ascii="Times New Roman" w:hAnsi="Times New Roman" w:cs="Times New Roman"/>
          <w:sz w:val="24"/>
          <w:szCs w:val="24"/>
        </w:rPr>
      </w:pPr>
    </w:p>
    <w:p w14:paraId="722ED5D6" w14:textId="5BE242EA" w:rsidR="00EE3319" w:rsidRPr="00EF5695" w:rsidRDefault="56825CE2" w:rsidP="007A5062">
      <w:pPr>
        <w:spacing w:line="276" w:lineRule="auto"/>
        <w:ind w:left="-20" w:right="-20" w:firstLine="709"/>
        <w:jc w:val="both"/>
        <w:rPr>
          <w:rFonts w:ascii="Times New Roman" w:eastAsia="Times New Roman" w:hAnsi="Times New Roman" w:cs="Times New Roman"/>
          <w:sz w:val="24"/>
          <w:szCs w:val="24"/>
          <w:lang w:val="lt"/>
        </w:rPr>
      </w:pPr>
      <w:r w:rsidRPr="070233B9">
        <w:rPr>
          <w:rFonts w:ascii="Times New Roman" w:eastAsia="Times New Roman" w:hAnsi="Times New Roman" w:cs="Times New Roman"/>
          <w:sz w:val="24"/>
          <w:szCs w:val="24"/>
        </w:rPr>
        <w:t xml:space="preserve">Agentūros </w:t>
      </w:r>
      <w:r w:rsidR="73A29F6B" w:rsidRPr="070233B9">
        <w:rPr>
          <w:rFonts w:ascii="Times New Roman" w:eastAsia="Times New Roman" w:hAnsi="Times New Roman" w:cs="Times New Roman"/>
          <w:sz w:val="24"/>
          <w:szCs w:val="24"/>
        </w:rPr>
        <w:t>Viešųjų pirkimų skyrius atlieka perkančiosios organizacijos funkcijas centralizuotai įsigyjant ginkluotę pagal valstybės institucijų, įstaigų, kitų subjektų (išskyrus Krašto apsaugos ministeriją, jai pavaldžias įstaigas ir Lietuvos kariuomenę) pateiktas paraiškas, vadovaujantis Lietuvos Respublikos ginklų ir šaudmenų kontrolės įstatymo 45</w:t>
      </w:r>
      <w:r w:rsidR="73A29F6B" w:rsidRPr="070233B9">
        <w:rPr>
          <w:rFonts w:ascii="Times New Roman" w:eastAsia="Times New Roman" w:hAnsi="Times New Roman" w:cs="Times New Roman"/>
          <w:sz w:val="24"/>
          <w:szCs w:val="24"/>
          <w:vertAlign w:val="superscript"/>
        </w:rPr>
        <w:t>1</w:t>
      </w:r>
      <w:r w:rsidR="73A29F6B" w:rsidRPr="070233B9">
        <w:rPr>
          <w:rFonts w:ascii="Times New Roman" w:eastAsia="Times New Roman" w:hAnsi="Times New Roman" w:cs="Times New Roman"/>
          <w:sz w:val="24"/>
          <w:szCs w:val="24"/>
        </w:rPr>
        <w:t xml:space="preserve"> straipsniu. Vadovaujantis Lietuvos Respublikos viešųjų pirkimų, atliekamų gynybos ir saugumo srityje, įstatymu, papildomai buvo vykdomi ginkluotės įsigijimo pirkimai Policijos departamentui prie Lietuvos Respublikos vidaus reikalų ministerijos, </w:t>
      </w:r>
      <w:r w:rsidR="00985603">
        <w:rPr>
          <w:rFonts w:ascii="Times New Roman" w:eastAsia="Times New Roman" w:hAnsi="Times New Roman" w:cs="Times New Roman"/>
          <w:sz w:val="24"/>
          <w:szCs w:val="24"/>
        </w:rPr>
        <w:t>VSAT</w:t>
      </w:r>
      <w:r w:rsidR="73A29F6B" w:rsidRPr="070233B9">
        <w:rPr>
          <w:rFonts w:ascii="Times New Roman" w:eastAsia="Times New Roman" w:hAnsi="Times New Roman" w:cs="Times New Roman"/>
          <w:sz w:val="24"/>
          <w:szCs w:val="24"/>
        </w:rPr>
        <w:t>, Viešojo saugumo tarnybai</w:t>
      </w:r>
      <w:r w:rsidR="33ED5AD1" w:rsidRPr="070233B9">
        <w:rPr>
          <w:rFonts w:ascii="Times New Roman" w:eastAsia="Times New Roman" w:hAnsi="Times New Roman" w:cs="Times New Roman"/>
          <w:sz w:val="24"/>
          <w:szCs w:val="24"/>
        </w:rPr>
        <w:t xml:space="preserve"> prie Vidaus reikalų ministerijos</w:t>
      </w:r>
      <w:r w:rsidR="73A29F6B" w:rsidRPr="070233B9">
        <w:rPr>
          <w:rFonts w:ascii="Times New Roman" w:eastAsia="Times New Roman" w:hAnsi="Times New Roman" w:cs="Times New Roman"/>
          <w:sz w:val="24"/>
          <w:szCs w:val="24"/>
        </w:rPr>
        <w:t>,</w:t>
      </w:r>
      <w:r w:rsidR="1DA2C29C" w:rsidRPr="070233B9">
        <w:rPr>
          <w:rFonts w:ascii="Times New Roman" w:eastAsia="Times New Roman" w:hAnsi="Times New Roman" w:cs="Times New Roman"/>
          <w:sz w:val="24"/>
          <w:szCs w:val="24"/>
        </w:rPr>
        <w:t xml:space="preserve"> </w:t>
      </w:r>
      <w:r w:rsidR="025C9591" w:rsidRPr="070233B9">
        <w:rPr>
          <w:rFonts w:ascii="Times New Roman" w:eastAsia="Times New Roman" w:hAnsi="Times New Roman" w:cs="Times New Roman"/>
          <w:sz w:val="24"/>
          <w:szCs w:val="24"/>
        </w:rPr>
        <w:t>Lietuvos Respublikos v</w:t>
      </w:r>
      <w:r w:rsidR="73A29F6B" w:rsidRPr="070233B9">
        <w:rPr>
          <w:rFonts w:ascii="Times New Roman" w:eastAsia="Times New Roman" w:hAnsi="Times New Roman" w:cs="Times New Roman"/>
          <w:sz w:val="24"/>
          <w:szCs w:val="24"/>
        </w:rPr>
        <w:t>adovybės apsaugos tarnybai ir kit</w:t>
      </w:r>
      <w:r w:rsidR="79C0E3AA" w:rsidRPr="070233B9">
        <w:rPr>
          <w:rFonts w:ascii="Times New Roman" w:eastAsia="Times New Roman" w:hAnsi="Times New Roman" w:cs="Times New Roman"/>
          <w:sz w:val="24"/>
          <w:szCs w:val="24"/>
        </w:rPr>
        <w:t>iems</w:t>
      </w:r>
      <w:r w:rsidR="73A29F6B" w:rsidRPr="070233B9">
        <w:rPr>
          <w:rFonts w:ascii="Times New Roman" w:eastAsia="Times New Roman" w:hAnsi="Times New Roman" w:cs="Times New Roman"/>
          <w:sz w:val="24"/>
          <w:szCs w:val="24"/>
        </w:rPr>
        <w:t>, turin</w:t>
      </w:r>
      <w:r w:rsidR="4E32EE6A" w:rsidRPr="070233B9">
        <w:rPr>
          <w:rFonts w:ascii="Times New Roman" w:eastAsia="Times New Roman" w:hAnsi="Times New Roman" w:cs="Times New Roman"/>
          <w:sz w:val="24"/>
          <w:szCs w:val="24"/>
        </w:rPr>
        <w:t>tiems</w:t>
      </w:r>
      <w:r w:rsidR="73A29F6B" w:rsidRPr="070233B9">
        <w:rPr>
          <w:rFonts w:ascii="Times New Roman" w:eastAsia="Times New Roman" w:hAnsi="Times New Roman" w:cs="Times New Roman"/>
          <w:sz w:val="24"/>
          <w:szCs w:val="24"/>
        </w:rPr>
        <w:t xml:space="preserve"> teisę įsigyti ginkluotę, </w:t>
      </w:r>
      <w:r w:rsidR="0038CE7C" w:rsidRPr="070233B9">
        <w:rPr>
          <w:rFonts w:ascii="Times New Roman" w:eastAsia="Times New Roman" w:hAnsi="Times New Roman" w:cs="Times New Roman"/>
          <w:sz w:val="24"/>
          <w:szCs w:val="24"/>
        </w:rPr>
        <w:t>special</w:t>
      </w:r>
      <w:r w:rsidR="58C83E93" w:rsidRPr="070233B9">
        <w:rPr>
          <w:rFonts w:ascii="Times New Roman" w:eastAsia="Times New Roman" w:hAnsi="Times New Roman" w:cs="Times New Roman"/>
          <w:sz w:val="24"/>
          <w:szCs w:val="24"/>
        </w:rPr>
        <w:t>iojo</w:t>
      </w:r>
      <w:r w:rsidR="0038CE7C" w:rsidRPr="070233B9">
        <w:rPr>
          <w:rFonts w:ascii="Times New Roman" w:eastAsia="Times New Roman" w:hAnsi="Times New Roman" w:cs="Times New Roman"/>
          <w:sz w:val="24"/>
          <w:szCs w:val="24"/>
        </w:rPr>
        <w:t xml:space="preserve"> statuso subjektams, </w:t>
      </w:r>
      <w:r w:rsidR="73A29F6B" w:rsidRPr="070233B9">
        <w:rPr>
          <w:rFonts w:ascii="Times New Roman" w:eastAsia="Times New Roman" w:hAnsi="Times New Roman" w:cs="Times New Roman"/>
          <w:sz w:val="24"/>
          <w:szCs w:val="24"/>
        </w:rPr>
        <w:t>valstybės įstaigoms ir institucijoms.</w:t>
      </w:r>
    </w:p>
    <w:p w14:paraId="07E11709" w14:textId="55A3B1DC" w:rsidR="00EE3319" w:rsidRPr="00EF5695" w:rsidRDefault="2A990BB6" w:rsidP="007A5062">
      <w:pPr>
        <w:spacing w:line="276" w:lineRule="auto"/>
        <w:ind w:left="-20" w:right="-20" w:firstLine="709"/>
        <w:jc w:val="both"/>
        <w:rPr>
          <w:rFonts w:ascii="Times New Roman" w:eastAsia="Times New Roman" w:hAnsi="Times New Roman" w:cs="Times New Roman"/>
          <w:sz w:val="24"/>
          <w:szCs w:val="24"/>
          <w:lang w:val="lt"/>
        </w:rPr>
      </w:pPr>
      <w:r w:rsidRPr="00EF5695">
        <w:rPr>
          <w:rFonts w:ascii="Times New Roman" w:eastAsia="Times New Roman" w:hAnsi="Times New Roman" w:cs="Times New Roman"/>
          <w:sz w:val="24"/>
          <w:szCs w:val="24"/>
        </w:rPr>
        <w:t xml:space="preserve">Vadovaujantis Lietuvos Respublikos vidaus reikalų ministro 2023 m. vasario 17 d. įsakymu Nr. 1V-71 „Dėl Pirkimų organizavimo ir vidaus kontrolės tvarkos aprašo patvirtinimo“ patvirtintu Pirkimų organizavimo ir vidaus kontrolės tvarkos aprašu </w:t>
      </w:r>
      <w:r w:rsidR="644FA6DE" w:rsidRPr="00EF5695">
        <w:rPr>
          <w:rFonts w:ascii="Times New Roman" w:eastAsia="Times New Roman" w:hAnsi="Times New Roman" w:cs="Times New Roman"/>
          <w:sz w:val="24"/>
          <w:szCs w:val="24"/>
        </w:rPr>
        <w:t>vykdyti vienetiniai pirkimai, kurių inicijuota</w:t>
      </w:r>
      <w:r w:rsidR="008819D7" w:rsidRPr="00EF5695">
        <w:rPr>
          <w:rFonts w:ascii="Times New Roman" w:eastAsia="Times New Roman" w:hAnsi="Times New Roman" w:cs="Times New Roman"/>
          <w:sz w:val="24"/>
          <w:szCs w:val="24"/>
        </w:rPr>
        <w:t xml:space="preserve"> </w:t>
      </w:r>
      <w:r w:rsidR="3145C0EB" w:rsidRPr="00EF5695">
        <w:rPr>
          <w:rFonts w:ascii="Times New Roman" w:eastAsia="Times New Roman" w:hAnsi="Times New Roman" w:cs="Times New Roman"/>
          <w:sz w:val="24"/>
          <w:szCs w:val="24"/>
        </w:rPr>
        <w:t>1116</w:t>
      </w:r>
      <w:r w:rsidR="644FA6DE" w:rsidRPr="00EF5695">
        <w:rPr>
          <w:rFonts w:ascii="Times New Roman" w:eastAsia="Times New Roman" w:hAnsi="Times New Roman" w:cs="Times New Roman"/>
          <w:sz w:val="24"/>
          <w:szCs w:val="24"/>
        </w:rPr>
        <w:t xml:space="preserve">, o bendra </w:t>
      </w:r>
      <w:r w:rsidR="47864B66" w:rsidRPr="00EF5695">
        <w:rPr>
          <w:rFonts w:ascii="Times New Roman" w:eastAsia="Times New Roman" w:hAnsi="Times New Roman" w:cs="Times New Roman"/>
          <w:sz w:val="24"/>
          <w:szCs w:val="24"/>
        </w:rPr>
        <w:t>sudarytų sutarčių</w:t>
      </w:r>
      <w:r w:rsidR="644FA6DE" w:rsidRPr="00EF5695">
        <w:rPr>
          <w:rFonts w:ascii="Times New Roman" w:eastAsia="Times New Roman" w:hAnsi="Times New Roman" w:cs="Times New Roman"/>
          <w:sz w:val="24"/>
          <w:szCs w:val="24"/>
        </w:rPr>
        <w:t xml:space="preserve"> vertė </w:t>
      </w:r>
      <w:r w:rsidR="50F4348B" w:rsidRPr="00EF5695">
        <w:rPr>
          <w:rFonts w:ascii="Times New Roman" w:eastAsia="Times New Roman" w:hAnsi="Times New Roman" w:cs="Times New Roman"/>
          <w:sz w:val="24"/>
          <w:szCs w:val="24"/>
        </w:rPr>
        <w:t>93,474,816.86</w:t>
      </w:r>
      <w:r w:rsidR="004A2CED" w:rsidRPr="00EF5695">
        <w:rPr>
          <w:rFonts w:ascii="Times New Roman" w:eastAsia="Times New Roman" w:hAnsi="Times New Roman" w:cs="Times New Roman"/>
          <w:sz w:val="24"/>
          <w:szCs w:val="24"/>
        </w:rPr>
        <w:t xml:space="preserve"> e</w:t>
      </w:r>
      <w:r w:rsidR="644FA6DE" w:rsidRPr="00EF5695">
        <w:rPr>
          <w:rFonts w:ascii="Times New Roman" w:eastAsia="Times New Roman" w:hAnsi="Times New Roman" w:cs="Times New Roman"/>
          <w:sz w:val="24"/>
          <w:szCs w:val="24"/>
        </w:rPr>
        <w:t>urų</w:t>
      </w:r>
      <w:r w:rsidR="004A2CED" w:rsidRPr="00EF5695">
        <w:rPr>
          <w:rFonts w:ascii="Times New Roman" w:eastAsia="Times New Roman" w:hAnsi="Times New Roman" w:cs="Times New Roman"/>
          <w:sz w:val="24"/>
          <w:szCs w:val="24"/>
        </w:rPr>
        <w:t>, įskaitant pridėtinės vertės mokestį</w:t>
      </w:r>
      <w:r w:rsidR="644FA6DE" w:rsidRPr="00EF5695">
        <w:rPr>
          <w:rFonts w:ascii="Times New Roman" w:eastAsia="Times New Roman" w:hAnsi="Times New Roman" w:cs="Times New Roman"/>
          <w:sz w:val="24"/>
          <w:szCs w:val="24"/>
        </w:rPr>
        <w:t>.</w:t>
      </w:r>
    </w:p>
    <w:p w14:paraId="0C40C61E" w14:textId="02BA4BD4" w:rsidR="00EE3319" w:rsidRPr="00EF5695" w:rsidRDefault="008B207D" w:rsidP="007A5062">
      <w:pPr>
        <w:spacing w:line="276" w:lineRule="auto"/>
        <w:ind w:left="-20" w:right="-20" w:firstLine="709"/>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rPr>
        <w:lastRenderedPageBreak/>
        <w:t>A</w:t>
      </w:r>
      <w:r w:rsidRPr="00EF5695">
        <w:rPr>
          <w:rFonts w:ascii="Times New Roman" w:eastAsia="Times New Roman" w:hAnsi="Times New Roman" w:cs="Times New Roman"/>
          <w:sz w:val="24"/>
          <w:szCs w:val="24"/>
        </w:rPr>
        <w:t xml:space="preserve">gentūra </w:t>
      </w:r>
      <w:r w:rsidR="644FA6DE" w:rsidRPr="00EF5695">
        <w:rPr>
          <w:rFonts w:ascii="Times New Roman" w:eastAsia="Times New Roman" w:hAnsi="Times New Roman" w:cs="Times New Roman"/>
          <w:sz w:val="24"/>
          <w:szCs w:val="24"/>
        </w:rPr>
        <w:t>pagal kompetenciją dalyvauja Lietuvos Respublikos vidaus reikalų ministro valdymo sričių statutinių įstaigų viešųjų pirkimų centralizavimo veiksmų plano, patvirtinto Lietuvos Respublikos vidaus reikalų ministro 2022 m. gruodžio 23 d. įsakymu Nr. 1V-809 „Dėl Lietuvos Respublikos vidaus reikalų ministro valdymo sričių statutinių įstaigų viešųjų pirkimų centralizavimo veiksmų plano patvirtinimo ir darbo grupės sudarymo“ (toliau – Veiksmų planas) įgyvendinime.</w:t>
      </w:r>
    </w:p>
    <w:p w14:paraId="394C7AE0" w14:textId="3B383639" w:rsidR="00EE3319" w:rsidRPr="00EF5695" w:rsidRDefault="644FA6DE" w:rsidP="007A5062">
      <w:pPr>
        <w:spacing w:line="276" w:lineRule="auto"/>
        <w:ind w:left="-20" w:right="-20" w:firstLine="709"/>
        <w:jc w:val="both"/>
        <w:rPr>
          <w:rFonts w:ascii="Times New Roman" w:eastAsia="Times New Roman" w:hAnsi="Times New Roman" w:cs="Times New Roman"/>
          <w:sz w:val="24"/>
          <w:szCs w:val="24"/>
        </w:rPr>
      </w:pPr>
      <w:r w:rsidRPr="00EF5695">
        <w:rPr>
          <w:rFonts w:ascii="Times New Roman" w:eastAsia="Times New Roman" w:hAnsi="Times New Roman" w:cs="Times New Roman"/>
          <w:sz w:val="24"/>
          <w:szCs w:val="24"/>
        </w:rPr>
        <w:t xml:space="preserve">Įgyvendinant Veiksmų planą ir Lietuvos Respublikos Vyriausybė 2022 m. lapkričio 9 d. nutarimą Nr. 1108 „Dėl Lietuvos Respublikos Vyriausybės 2007 m. sausio 19 d. nutarimo Nr. 50 „Dėl centralizuotų viešųjų pirkimų vykdymo“ </w:t>
      </w:r>
      <w:r w:rsidR="08976D6D" w:rsidRPr="00EF5695">
        <w:rPr>
          <w:rFonts w:ascii="Times New Roman" w:eastAsia="Times New Roman" w:hAnsi="Times New Roman" w:cs="Times New Roman"/>
          <w:sz w:val="24"/>
          <w:szCs w:val="24"/>
        </w:rPr>
        <w:t xml:space="preserve">pradėta taikyti </w:t>
      </w:r>
      <w:r w:rsidRPr="00EF5695">
        <w:rPr>
          <w:rFonts w:ascii="Times New Roman" w:eastAsia="Times New Roman" w:hAnsi="Times New Roman" w:cs="Times New Roman"/>
          <w:sz w:val="24"/>
          <w:szCs w:val="24"/>
        </w:rPr>
        <w:t>sukurta Dinaminė pirkimo sistema (Programinė įrangos palaikymo paslaugoms)</w:t>
      </w:r>
      <w:r w:rsidR="41A557A6" w:rsidRPr="00EF5695">
        <w:rPr>
          <w:rFonts w:ascii="Times New Roman" w:eastAsia="Times New Roman" w:hAnsi="Times New Roman" w:cs="Times New Roman"/>
          <w:sz w:val="24"/>
          <w:szCs w:val="24"/>
        </w:rPr>
        <w:t>.</w:t>
      </w:r>
      <w:r w:rsidRPr="00EF5695">
        <w:rPr>
          <w:rFonts w:ascii="Times New Roman" w:eastAsia="Times New Roman" w:hAnsi="Times New Roman" w:cs="Times New Roman"/>
          <w:sz w:val="24"/>
          <w:szCs w:val="24"/>
        </w:rPr>
        <w:t xml:space="preserve"> </w:t>
      </w:r>
      <w:r w:rsidR="6F65A82E" w:rsidRPr="00EF5695">
        <w:rPr>
          <w:rFonts w:ascii="Times New Roman" w:eastAsia="Times New Roman" w:hAnsi="Times New Roman" w:cs="Times New Roman"/>
          <w:sz w:val="24"/>
          <w:szCs w:val="24"/>
        </w:rPr>
        <w:t>A</w:t>
      </w:r>
      <w:r w:rsidR="5FA9F2AF" w:rsidRPr="00EF5695">
        <w:rPr>
          <w:rFonts w:ascii="Times New Roman" w:eastAsia="Times New Roman" w:hAnsi="Times New Roman" w:cs="Times New Roman"/>
          <w:sz w:val="24"/>
          <w:szCs w:val="24"/>
        </w:rPr>
        <w:t>tlikti</w:t>
      </w:r>
      <w:r w:rsidRPr="00EF5695">
        <w:rPr>
          <w:rFonts w:ascii="Times New Roman" w:eastAsia="Times New Roman" w:hAnsi="Times New Roman" w:cs="Times New Roman"/>
          <w:sz w:val="24"/>
          <w:szCs w:val="24"/>
        </w:rPr>
        <w:t xml:space="preserve"> degalų iš degalinių įsigijimo per vidaus reikalų sistemos centrinę perkančiąją organizaciją bei Viešojo judriojo ryšio duomenų perdavimo paslaugos centralizuot</w:t>
      </w:r>
      <w:r w:rsidR="24E17592" w:rsidRPr="00EF5695">
        <w:rPr>
          <w:rFonts w:ascii="Times New Roman" w:eastAsia="Times New Roman" w:hAnsi="Times New Roman" w:cs="Times New Roman"/>
          <w:sz w:val="24"/>
          <w:szCs w:val="24"/>
        </w:rPr>
        <w:t>i</w:t>
      </w:r>
      <w:r w:rsidRPr="00EF5695">
        <w:rPr>
          <w:rFonts w:ascii="Times New Roman" w:eastAsia="Times New Roman" w:hAnsi="Times New Roman" w:cs="Times New Roman"/>
          <w:sz w:val="24"/>
          <w:szCs w:val="24"/>
        </w:rPr>
        <w:t xml:space="preserve"> pirkim</w:t>
      </w:r>
      <w:r w:rsidR="0F4F76A8" w:rsidRPr="00EF5695">
        <w:rPr>
          <w:rFonts w:ascii="Times New Roman" w:eastAsia="Times New Roman" w:hAnsi="Times New Roman" w:cs="Times New Roman"/>
          <w:sz w:val="24"/>
          <w:szCs w:val="24"/>
        </w:rPr>
        <w:t>ai</w:t>
      </w:r>
      <w:r w:rsidRPr="00EF5695">
        <w:rPr>
          <w:rFonts w:ascii="Times New Roman" w:eastAsia="Times New Roman" w:hAnsi="Times New Roman" w:cs="Times New Roman"/>
          <w:sz w:val="24"/>
          <w:szCs w:val="24"/>
        </w:rPr>
        <w:t xml:space="preserve">. </w:t>
      </w:r>
    </w:p>
    <w:p w14:paraId="5FAC4D33" w14:textId="5E352F29" w:rsidR="00EE3319" w:rsidRPr="00EF5695" w:rsidRDefault="644FA6DE" w:rsidP="007A5062">
      <w:pPr>
        <w:spacing w:line="276" w:lineRule="auto"/>
        <w:ind w:left="-20" w:right="-20" w:firstLine="709"/>
        <w:jc w:val="both"/>
        <w:rPr>
          <w:rFonts w:ascii="Times New Roman" w:eastAsia="Times New Roman" w:hAnsi="Times New Roman" w:cs="Times New Roman"/>
          <w:sz w:val="24"/>
          <w:szCs w:val="24"/>
        </w:rPr>
      </w:pPr>
      <w:r w:rsidRPr="00EF5695">
        <w:rPr>
          <w:rFonts w:ascii="Times New Roman" w:eastAsia="Times New Roman" w:hAnsi="Times New Roman" w:cs="Times New Roman"/>
          <w:sz w:val="24"/>
          <w:szCs w:val="24"/>
        </w:rPr>
        <w:t xml:space="preserve">Įgyvendinant Lietuvos Respublikos Vyriausybės 2010 m. liepos 21 d. nutarimu Nr. 1133 „Dėl žaliųjų pirkimų tikslų nustatymo ir įgyvendinimo“ nustatytą tikslą </w:t>
      </w:r>
      <w:r w:rsidR="159549FC" w:rsidRPr="00EF5695">
        <w:rPr>
          <w:rFonts w:ascii="Times New Roman" w:eastAsia="Times New Roman" w:hAnsi="Times New Roman" w:cs="Times New Roman"/>
          <w:sz w:val="24"/>
          <w:szCs w:val="24"/>
        </w:rPr>
        <w:t>pasiekti</w:t>
      </w:r>
      <w:r w:rsidRPr="00EF5695">
        <w:rPr>
          <w:rFonts w:ascii="Times New Roman" w:eastAsia="Times New Roman" w:hAnsi="Times New Roman" w:cs="Times New Roman"/>
          <w:sz w:val="24"/>
          <w:szCs w:val="24"/>
        </w:rPr>
        <w:t xml:space="preserve">. 100 procentų pirkimų, skaičiuojant pagal vertę nuo visų pirkimų, taikyti žaliųjų pirkimų reikalavimus, pasiektas rodiklis – </w:t>
      </w:r>
      <w:r w:rsidR="46FF5B19" w:rsidRPr="00EF5695">
        <w:rPr>
          <w:rFonts w:ascii="Times New Roman" w:eastAsia="Times New Roman" w:hAnsi="Times New Roman" w:cs="Times New Roman"/>
          <w:sz w:val="24"/>
          <w:szCs w:val="24"/>
        </w:rPr>
        <w:t>98,2</w:t>
      </w:r>
      <w:r w:rsidRPr="00EF5695">
        <w:rPr>
          <w:rFonts w:ascii="Times New Roman" w:eastAsia="Times New Roman" w:hAnsi="Times New Roman" w:cs="Times New Roman"/>
          <w:sz w:val="24"/>
          <w:szCs w:val="24"/>
        </w:rPr>
        <w:t xml:space="preserve"> proc. </w:t>
      </w:r>
    </w:p>
    <w:p w14:paraId="51E27784" w14:textId="77777777" w:rsidR="00EE3319" w:rsidRPr="00EF5695" w:rsidRDefault="00EE3319" w:rsidP="007A5062">
      <w:pPr>
        <w:spacing w:line="276" w:lineRule="auto"/>
        <w:ind w:firstLine="709"/>
        <w:jc w:val="both"/>
        <w:rPr>
          <w:rFonts w:ascii="Times New Roman" w:hAnsi="Times New Roman" w:cs="Times New Roman"/>
          <w:sz w:val="24"/>
          <w:szCs w:val="24"/>
        </w:rPr>
      </w:pPr>
    </w:p>
    <w:p w14:paraId="436D611D" w14:textId="3D8F4A12" w:rsidR="008231F5" w:rsidRPr="00EF5695" w:rsidRDefault="008231F5" w:rsidP="007A5062">
      <w:pPr>
        <w:pStyle w:val="paragraph"/>
        <w:spacing w:before="0" w:beforeAutospacing="0" w:after="0" w:afterAutospacing="0" w:line="276" w:lineRule="auto"/>
        <w:ind w:firstLine="705"/>
        <w:jc w:val="center"/>
        <w:textAlignment w:val="baseline"/>
        <w:rPr>
          <w:rFonts w:ascii="Segoe UI" w:hAnsi="Segoe UI" w:cs="Segoe UI"/>
        </w:rPr>
      </w:pPr>
      <w:r w:rsidRPr="00EF5695">
        <w:rPr>
          <w:rStyle w:val="normaltextrun"/>
          <w:b/>
          <w:bCs/>
          <w:shd w:val="clear" w:color="auto" w:fill="C0C0C0"/>
        </w:rPr>
        <w:t>Centralizuotas finansinės apskaitos tvarkymas</w:t>
      </w:r>
      <w:r w:rsidRPr="00EF5695">
        <w:rPr>
          <w:rStyle w:val="eop"/>
        </w:rPr>
        <w:t> </w:t>
      </w:r>
    </w:p>
    <w:p w14:paraId="56337E0F" w14:textId="77777777" w:rsidR="008231F5" w:rsidRPr="00EF5695" w:rsidRDefault="008231F5" w:rsidP="007A5062">
      <w:pPr>
        <w:pStyle w:val="paragraph"/>
        <w:spacing w:before="0" w:beforeAutospacing="0" w:after="0" w:afterAutospacing="0" w:line="276" w:lineRule="auto"/>
        <w:ind w:firstLine="705"/>
        <w:jc w:val="both"/>
        <w:textAlignment w:val="baseline"/>
        <w:rPr>
          <w:rFonts w:ascii="Segoe UI" w:hAnsi="Segoe UI" w:cs="Segoe UI"/>
        </w:rPr>
      </w:pPr>
      <w:r w:rsidRPr="00EF5695">
        <w:rPr>
          <w:rStyle w:val="eop"/>
        </w:rPr>
        <w:t> </w:t>
      </w:r>
    </w:p>
    <w:p w14:paraId="1077EE34" w14:textId="3362BF57" w:rsidR="008231F5" w:rsidRPr="00EF5695" w:rsidRDefault="008231F5" w:rsidP="007A5062">
      <w:pPr>
        <w:pStyle w:val="paragraph"/>
        <w:spacing w:before="0" w:beforeAutospacing="0" w:after="0" w:afterAutospacing="0" w:line="276" w:lineRule="auto"/>
        <w:ind w:firstLine="705"/>
        <w:jc w:val="both"/>
        <w:textAlignment w:val="baseline"/>
        <w:rPr>
          <w:rFonts w:ascii="Segoe UI" w:hAnsi="Segoe UI" w:cs="Segoe UI"/>
        </w:rPr>
      </w:pPr>
      <w:r w:rsidRPr="00EF5695">
        <w:rPr>
          <w:rStyle w:val="normaltextrun"/>
        </w:rPr>
        <w:t xml:space="preserve">Centralizuotai tvarkoma įstaigų prie </w:t>
      </w:r>
      <w:r w:rsidR="19C96C1A" w:rsidRPr="00EF5695">
        <w:rPr>
          <w:rStyle w:val="normaltextrun"/>
        </w:rPr>
        <w:t xml:space="preserve">Lietuvos Respublikos </w:t>
      </w:r>
      <w:r w:rsidR="333C3553" w:rsidRPr="00EF5695">
        <w:rPr>
          <w:rStyle w:val="normaltextrun"/>
        </w:rPr>
        <w:t>v</w:t>
      </w:r>
      <w:r w:rsidRPr="00EF5695">
        <w:rPr>
          <w:rStyle w:val="normaltextrun"/>
        </w:rPr>
        <w:t>idaus reikalų ministerijos, finansuojamų iš valstybės biudžeto asignavimų, Europos Sąjungos struktūrinių ar kitų fondų projektų lėšų ir kitų disponuojamų lėšų finansinė apskaita, šių įstaigų ir Vidaus reikalų ministerijos valdomo, naudojamo ir disponuojamo turto apskaita. Tvarkoma įstaigų prie Vidaus reikalų ministerijos parengtų biudžeto programų lėšų apskaita ir kontrolė, teikiamos  valstybės biudžeto vykdymo ataskaitos, mokestinės deklaracijos ir statistinės ataskaitos, sudaromi finansinių ataskaitų rinkiniai, atliekamas valstybės tarnautojų ir darbuotojų, dirbančių pagal darbo sutartis, darbo užmokesčio ir kitų mokėtinų lėšų apskaičiavimas ir mokėjimas.</w:t>
      </w:r>
      <w:r w:rsidRPr="00EF5695">
        <w:rPr>
          <w:rStyle w:val="eop"/>
        </w:rPr>
        <w:t> </w:t>
      </w:r>
    </w:p>
    <w:p w14:paraId="63F9F1D1" w14:textId="0BDAB382" w:rsidR="008231F5" w:rsidRPr="00EF5695" w:rsidRDefault="008B207D" w:rsidP="007A5062">
      <w:pPr>
        <w:pStyle w:val="paragraph"/>
        <w:spacing w:before="0" w:beforeAutospacing="0" w:after="0" w:afterAutospacing="0" w:line="276" w:lineRule="auto"/>
        <w:ind w:firstLine="705"/>
        <w:jc w:val="both"/>
        <w:textAlignment w:val="baseline"/>
        <w:rPr>
          <w:rStyle w:val="eop"/>
        </w:rPr>
      </w:pPr>
      <w:r>
        <w:rPr>
          <w:rStyle w:val="normaltextrun"/>
        </w:rPr>
        <w:t>A</w:t>
      </w:r>
      <w:r w:rsidRPr="00EF5695">
        <w:rPr>
          <w:rStyle w:val="normaltextrun"/>
        </w:rPr>
        <w:t xml:space="preserve">gentūra </w:t>
      </w:r>
      <w:r w:rsidR="008231F5" w:rsidRPr="00EF5695">
        <w:rPr>
          <w:rStyle w:val="normaltextrun"/>
        </w:rPr>
        <w:t>centralizuotai tvarko šių subjektų finansinę apskaitą</w:t>
      </w:r>
      <w:r w:rsidR="008231F5" w:rsidRPr="008F3E57">
        <w:rPr>
          <w:rStyle w:val="normaltextrun"/>
        </w:rPr>
        <w:t xml:space="preserve">: </w:t>
      </w:r>
      <w:r w:rsidR="008F3E57">
        <w:rPr>
          <w:rStyle w:val="normaltextrun"/>
        </w:rPr>
        <w:t>ADIC</w:t>
      </w:r>
      <w:r w:rsidR="008231F5" w:rsidRPr="008F3E57">
        <w:rPr>
          <w:rStyle w:val="normaltextrun"/>
        </w:rPr>
        <w:t xml:space="preserve">, </w:t>
      </w:r>
      <w:r w:rsidR="00A963FA">
        <w:rPr>
          <w:rStyle w:val="normaltextrun"/>
        </w:rPr>
        <w:t>IRD</w:t>
      </w:r>
      <w:r w:rsidR="008231F5" w:rsidRPr="00EF5695">
        <w:rPr>
          <w:rStyle w:val="normaltextrun"/>
        </w:rPr>
        <w:t xml:space="preserve">, Migracijos departamento, Medicinos centro, o </w:t>
      </w:r>
      <w:r w:rsidR="00A66D01">
        <w:rPr>
          <w:rStyle w:val="normaltextrun"/>
        </w:rPr>
        <w:t>V</w:t>
      </w:r>
      <w:r w:rsidR="008231F5" w:rsidRPr="00EF5695">
        <w:rPr>
          <w:rStyle w:val="normaltextrun"/>
        </w:rPr>
        <w:t>idaus reikalų ministerijos – ilgalaikio, trumpalaikio materialiojo ir nematerialiojo turto apskaitą. </w:t>
      </w:r>
      <w:r w:rsidR="008231F5" w:rsidRPr="00EF5695">
        <w:rPr>
          <w:rStyle w:val="eop"/>
        </w:rPr>
        <w:t> </w:t>
      </w:r>
    </w:p>
    <w:p w14:paraId="1AA88BD8" w14:textId="77777777" w:rsidR="008231F5" w:rsidRPr="00EF5695" w:rsidRDefault="008231F5" w:rsidP="007A5062">
      <w:pPr>
        <w:pStyle w:val="paragraph"/>
        <w:spacing w:before="0" w:beforeAutospacing="0" w:after="0" w:afterAutospacing="0" w:line="276" w:lineRule="auto"/>
        <w:ind w:firstLine="705"/>
        <w:jc w:val="both"/>
        <w:textAlignment w:val="baseline"/>
        <w:rPr>
          <w:rFonts w:ascii="Segoe UI" w:hAnsi="Segoe UI" w:cs="Segoe UI"/>
        </w:rPr>
      </w:pPr>
    </w:p>
    <w:p w14:paraId="12370D10" w14:textId="77777777" w:rsidR="00EE3319" w:rsidRPr="00EF5695" w:rsidRDefault="00EE3319" w:rsidP="007A5062">
      <w:pPr>
        <w:spacing w:line="276" w:lineRule="auto"/>
        <w:ind w:firstLine="709"/>
        <w:jc w:val="center"/>
        <w:rPr>
          <w:rFonts w:ascii="Times New Roman" w:hAnsi="Times New Roman" w:cs="Times New Roman"/>
          <w:b/>
          <w:bCs/>
          <w:sz w:val="24"/>
          <w:szCs w:val="24"/>
        </w:rPr>
      </w:pPr>
      <w:r w:rsidRPr="00EF5695">
        <w:rPr>
          <w:rFonts w:ascii="Times New Roman" w:hAnsi="Times New Roman" w:cs="Times New Roman"/>
          <w:b/>
          <w:bCs/>
          <w:sz w:val="24"/>
          <w:szCs w:val="24"/>
          <w:highlight w:val="lightGray"/>
        </w:rPr>
        <w:t>Buvusiems vidaus reikalų sistemos pareigūnams paskirtų pareigūnų ir karių valstybinių pensijų administravimas</w:t>
      </w:r>
    </w:p>
    <w:p w14:paraId="64FCD01D" w14:textId="77777777" w:rsidR="00EE3319" w:rsidRPr="00EF5695" w:rsidRDefault="00EE3319" w:rsidP="007A5062">
      <w:pPr>
        <w:spacing w:line="276" w:lineRule="auto"/>
        <w:ind w:firstLine="709"/>
        <w:jc w:val="both"/>
        <w:rPr>
          <w:rFonts w:ascii="Times New Roman" w:hAnsi="Times New Roman" w:cs="Times New Roman"/>
          <w:sz w:val="24"/>
          <w:szCs w:val="24"/>
        </w:rPr>
      </w:pPr>
    </w:p>
    <w:p w14:paraId="51C8D64E" w14:textId="2BD7E7CC" w:rsidR="00EE3319" w:rsidRPr="00EF5695" w:rsidRDefault="00EE3319" w:rsidP="007A5062">
      <w:pPr>
        <w:spacing w:line="276" w:lineRule="auto"/>
        <w:ind w:firstLine="709"/>
        <w:jc w:val="both"/>
        <w:rPr>
          <w:rFonts w:ascii="Times New Roman" w:hAnsi="Times New Roman" w:cs="Times New Roman"/>
          <w:sz w:val="24"/>
          <w:szCs w:val="24"/>
        </w:rPr>
      </w:pPr>
      <w:r w:rsidRPr="00EF5695">
        <w:rPr>
          <w:rFonts w:ascii="Times New Roman" w:hAnsi="Times New Roman" w:cs="Times New Roman"/>
          <w:sz w:val="24"/>
          <w:szCs w:val="24"/>
        </w:rPr>
        <w:t xml:space="preserve">Pagal Valstybinio socialinio draudimo fondo valdybos prie Socialinės apsaugos ir darbo ministerijos bei buvusių vidaus reikalų sistemos pareigūnų paklausimus ir prašymus rengiama ir teikiama iš asmens bylų informacija ir duomenys valstybinių pensijų klausimais, parengtos ir išduotos pareiškėjams pažymos dėl buvusiems vidaus reikalų sistemos pareigūnams paskirtų pareigūnų ir karių valstybinių pensijų išmokų ir kitų su tuo susijusių klausimų. </w:t>
      </w:r>
    </w:p>
    <w:p w14:paraId="0A8F673B" w14:textId="2875D27A" w:rsidR="006E73F1" w:rsidRPr="00504610" w:rsidRDefault="006E73F1" w:rsidP="092ADAC3">
      <w:pPr>
        <w:keepNext/>
        <w:keepLines/>
        <w:spacing w:before="120" w:after="120" w:line="240" w:lineRule="auto"/>
        <w:ind w:firstLine="851"/>
        <w:jc w:val="center"/>
        <w:outlineLvl w:val="1"/>
        <w:rPr>
          <w:rFonts w:ascii="Times New Roman" w:eastAsiaTheme="majorEastAsia" w:hAnsi="Times New Roman" w:cs="Times New Roman"/>
          <w:b/>
          <w:bCs/>
          <w:sz w:val="24"/>
          <w:szCs w:val="24"/>
        </w:rPr>
      </w:pPr>
      <w:r w:rsidRPr="00504610">
        <w:rPr>
          <w:rFonts w:ascii="Times New Roman" w:eastAsiaTheme="majorEastAsia" w:hAnsi="Times New Roman" w:cs="Times New Roman"/>
          <w:b/>
          <w:bCs/>
          <w:sz w:val="24"/>
          <w:szCs w:val="24"/>
        </w:rPr>
        <w:lastRenderedPageBreak/>
        <w:t xml:space="preserve">01-001 PROGRAMOS </w:t>
      </w:r>
      <w:r w:rsidR="000331C3" w:rsidRPr="00504610">
        <w:rPr>
          <w:rFonts w:ascii="Times New Roman" w:eastAsiaTheme="majorEastAsia" w:hAnsi="Times New Roman" w:cs="Times New Roman"/>
          <w:b/>
          <w:bCs/>
          <w:sz w:val="24"/>
          <w:szCs w:val="24"/>
        </w:rPr>
        <w:t xml:space="preserve">„VIDAUS REIKALŲ MINISTRUI PAVESTŲ VALDYMO SRIČIŲ POLITIKOS FORMAVIMAS IR VIDAUS REIKALŲ INFRASTRUKTŪROS BEI PASLAUGŲ VALDYMAS“ STEBĖSENOS RODIKLIAI </w:t>
      </w:r>
    </w:p>
    <w:p w14:paraId="3A77ECFE" w14:textId="07EC02A7" w:rsidR="006E73F1" w:rsidRPr="00E81BF5" w:rsidRDefault="007B2EEA" w:rsidP="0008775A">
      <w:pPr>
        <w:pStyle w:val="Betarp"/>
        <w:shd w:val="clear" w:color="auto" w:fill="DEEAF6" w:themeFill="accent1" w:themeFillTint="33"/>
        <w:spacing w:after="240"/>
        <w:ind w:firstLine="567"/>
        <w:jc w:val="both"/>
        <w:rPr>
          <w:rFonts w:ascii="Times New Roman" w:hAnsi="Times New Roman" w:cs="Times New Roman"/>
          <w:sz w:val="24"/>
          <w:szCs w:val="24"/>
        </w:rPr>
      </w:pPr>
      <w:r w:rsidRPr="00E81BF5">
        <w:rPr>
          <w:rFonts w:ascii="Times New Roman" w:hAnsi="Times New Roman" w:cs="Times New Roman"/>
          <w:b/>
          <w:bCs/>
          <w:sz w:val="24"/>
          <w:szCs w:val="24"/>
        </w:rPr>
        <w:t>E</w:t>
      </w:r>
      <w:r w:rsidR="006E73F1" w:rsidRPr="00E81BF5">
        <w:rPr>
          <w:rFonts w:ascii="Times New Roman" w:hAnsi="Times New Roman" w:cs="Times New Roman"/>
          <w:b/>
          <w:bCs/>
          <w:sz w:val="24"/>
          <w:szCs w:val="24"/>
        </w:rPr>
        <w:t>-01-001-</w:t>
      </w:r>
      <w:r w:rsidRPr="00E81BF5">
        <w:rPr>
          <w:rFonts w:ascii="Times New Roman" w:hAnsi="Times New Roman" w:cs="Times New Roman"/>
          <w:b/>
          <w:bCs/>
          <w:sz w:val="24"/>
          <w:szCs w:val="24"/>
        </w:rPr>
        <w:t>12</w:t>
      </w:r>
      <w:r w:rsidR="006E73F1" w:rsidRPr="00E81BF5">
        <w:rPr>
          <w:rFonts w:ascii="Times New Roman" w:hAnsi="Times New Roman" w:cs="Times New Roman"/>
          <w:b/>
          <w:bCs/>
          <w:sz w:val="24"/>
          <w:szCs w:val="24"/>
        </w:rPr>
        <w:t>-01</w:t>
      </w:r>
      <w:r w:rsidR="006E73F1" w:rsidRPr="00E81BF5">
        <w:rPr>
          <w:rFonts w:ascii="Times New Roman" w:hAnsi="Times New Roman" w:cs="Times New Roman"/>
          <w:sz w:val="24"/>
          <w:szCs w:val="24"/>
        </w:rPr>
        <w:t xml:space="preserve"> </w:t>
      </w:r>
      <w:r w:rsidR="00CB46B3" w:rsidRPr="00E81BF5">
        <w:rPr>
          <w:rStyle w:val="Grietas"/>
          <w:rFonts w:ascii="Times New Roman" w:hAnsi="Times New Roman" w:cs="Times New Roman"/>
          <w:sz w:val="24"/>
          <w:szCs w:val="24"/>
        </w:rPr>
        <w:t>Vidutinės centralizuotai administruojamo valstybės nekilnojamojo turto valdymo ir ūkinės priežiūros išlaidos, tenkančios 1 kv. metrui bendro įstaigos valdomo ploto, ne daugiau kaip, eurai</w:t>
      </w:r>
    </w:p>
    <w:tbl>
      <w:tblPr>
        <w:tblStyle w:val="Lentelstinklelis"/>
        <w:tblW w:w="0" w:type="auto"/>
        <w:jc w:val="center"/>
        <w:tblLook w:val="04A0" w:firstRow="1" w:lastRow="0" w:firstColumn="1" w:lastColumn="0" w:noHBand="0" w:noVBand="1"/>
      </w:tblPr>
      <w:tblGrid>
        <w:gridCol w:w="1323"/>
        <w:gridCol w:w="2682"/>
        <w:gridCol w:w="1438"/>
        <w:gridCol w:w="1438"/>
        <w:gridCol w:w="2620"/>
      </w:tblGrid>
      <w:tr w:rsidR="006E73F1" w:rsidRPr="008128BA" w14:paraId="10BF099F" w14:textId="77777777" w:rsidTr="00992989">
        <w:trPr>
          <w:trHeight w:val="1110"/>
          <w:jc w:val="center"/>
        </w:trPr>
        <w:tc>
          <w:tcPr>
            <w:tcW w:w="1310" w:type="dxa"/>
            <w:tcBorders>
              <w:bottom w:val="single" w:sz="4" w:space="0" w:color="auto"/>
            </w:tcBorders>
            <w:shd w:val="clear" w:color="auto" w:fill="BFBFBF" w:themeFill="background1" w:themeFillShade="BF"/>
            <w:vAlign w:val="center"/>
            <w:hideMark/>
          </w:tcPr>
          <w:p w14:paraId="25CBACB5" w14:textId="6D061EA4" w:rsidR="006E73F1" w:rsidRPr="00ED4C34" w:rsidRDefault="007B2EEA" w:rsidP="00992989">
            <w:pPr>
              <w:pStyle w:val="Betarp"/>
              <w:jc w:val="center"/>
              <w:rPr>
                <w:rFonts w:ascii="Times New Roman" w:hAnsi="Times New Roman" w:cs="Times New Roman"/>
                <w:b/>
                <w:bCs/>
                <w:sz w:val="24"/>
                <w:szCs w:val="24"/>
              </w:rPr>
            </w:pPr>
            <w:r w:rsidRPr="00ED4C34">
              <w:rPr>
                <w:rFonts w:ascii="Times New Roman" w:hAnsi="Times New Roman" w:cs="Times New Roman"/>
                <w:b/>
                <w:bCs/>
                <w:sz w:val="24"/>
                <w:szCs w:val="24"/>
              </w:rPr>
              <w:t>Stebėsenos rodiklio</w:t>
            </w:r>
            <w:r w:rsidR="006E73F1" w:rsidRPr="00ED4C34">
              <w:rPr>
                <w:rFonts w:ascii="Times New Roman" w:hAnsi="Times New Roman" w:cs="Times New Roman"/>
                <w:b/>
                <w:bCs/>
                <w:sz w:val="24"/>
                <w:szCs w:val="24"/>
              </w:rPr>
              <w:t xml:space="preserve"> kodas</w:t>
            </w:r>
          </w:p>
        </w:tc>
        <w:tc>
          <w:tcPr>
            <w:tcW w:w="2682" w:type="dxa"/>
            <w:tcBorders>
              <w:bottom w:val="single" w:sz="4" w:space="0" w:color="auto"/>
            </w:tcBorders>
            <w:shd w:val="clear" w:color="auto" w:fill="BFBFBF" w:themeFill="background1" w:themeFillShade="BF"/>
            <w:vAlign w:val="center"/>
            <w:hideMark/>
          </w:tcPr>
          <w:p w14:paraId="11AD6CD4" w14:textId="6FE8110A" w:rsidR="006E73F1" w:rsidRPr="00ED4C34" w:rsidRDefault="007B2EEA" w:rsidP="00992989">
            <w:pPr>
              <w:pStyle w:val="Betarp"/>
              <w:jc w:val="center"/>
              <w:rPr>
                <w:rFonts w:ascii="Times New Roman" w:hAnsi="Times New Roman" w:cs="Times New Roman"/>
                <w:b/>
                <w:bCs/>
                <w:sz w:val="24"/>
                <w:szCs w:val="24"/>
              </w:rPr>
            </w:pPr>
            <w:r w:rsidRPr="00ED4C34">
              <w:rPr>
                <w:rFonts w:ascii="Times New Roman" w:hAnsi="Times New Roman" w:cs="Times New Roman"/>
                <w:b/>
                <w:bCs/>
                <w:sz w:val="24"/>
                <w:szCs w:val="24"/>
              </w:rPr>
              <w:t>Stebėsenos rodiklio</w:t>
            </w:r>
            <w:r w:rsidR="006E73F1" w:rsidRPr="00ED4C34">
              <w:rPr>
                <w:rFonts w:ascii="Times New Roman" w:hAnsi="Times New Roman" w:cs="Times New Roman"/>
                <w:b/>
                <w:bCs/>
                <w:sz w:val="24"/>
                <w:szCs w:val="24"/>
              </w:rPr>
              <w:t xml:space="preserve"> pavadinimas, mat</w:t>
            </w:r>
            <w:r w:rsidRPr="00ED4C34">
              <w:rPr>
                <w:rFonts w:ascii="Times New Roman" w:hAnsi="Times New Roman" w:cs="Times New Roman"/>
                <w:b/>
                <w:bCs/>
                <w:sz w:val="24"/>
                <w:szCs w:val="24"/>
              </w:rPr>
              <w:t>avimo</w:t>
            </w:r>
            <w:r w:rsidR="006E73F1" w:rsidRPr="00ED4C34">
              <w:rPr>
                <w:rFonts w:ascii="Times New Roman" w:hAnsi="Times New Roman" w:cs="Times New Roman"/>
                <w:b/>
                <w:bCs/>
                <w:sz w:val="24"/>
                <w:szCs w:val="24"/>
              </w:rPr>
              <w:t xml:space="preserve"> vieneta</w:t>
            </w:r>
            <w:r w:rsidRPr="00ED4C34">
              <w:rPr>
                <w:rFonts w:ascii="Times New Roman" w:hAnsi="Times New Roman" w:cs="Times New Roman"/>
                <w:b/>
                <w:bCs/>
                <w:sz w:val="24"/>
                <w:szCs w:val="24"/>
              </w:rPr>
              <w:t>i</w:t>
            </w:r>
          </w:p>
        </w:tc>
        <w:tc>
          <w:tcPr>
            <w:tcW w:w="1438" w:type="dxa"/>
            <w:vMerge w:val="restart"/>
            <w:tcBorders>
              <w:bottom w:val="single" w:sz="4" w:space="0" w:color="auto"/>
            </w:tcBorders>
            <w:shd w:val="clear" w:color="auto" w:fill="BFBFBF" w:themeFill="background1" w:themeFillShade="BF"/>
            <w:vAlign w:val="center"/>
            <w:hideMark/>
          </w:tcPr>
          <w:p w14:paraId="4534C906" w14:textId="43F8D2BE" w:rsidR="006E73F1" w:rsidRPr="00ED4C34" w:rsidRDefault="00B458C5" w:rsidP="00992989">
            <w:pPr>
              <w:pStyle w:val="Betarp"/>
              <w:jc w:val="center"/>
              <w:rPr>
                <w:rFonts w:ascii="Times New Roman" w:hAnsi="Times New Roman" w:cs="Times New Roman"/>
                <w:b/>
                <w:bCs/>
                <w:sz w:val="24"/>
                <w:szCs w:val="24"/>
              </w:rPr>
            </w:pPr>
            <w:r w:rsidRPr="00ED4C34">
              <w:rPr>
                <w:rFonts w:ascii="Times New Roman" w:hAnsi="Times New Roman" w:cs="Times New Roman"/>
                <w:b/>
                <w:bCs/>
                <w:sz w:val="24"/>
                <w:szCs w:val="24"/>
              </w:rPr>
              <w:t xml:space="preserve">2025 </w:t>
            </w:r>
            <w:r w:rsidR="30DF7046" w:rsidRPr="00ED4C34">
              <w:rPr>
                <w:rFonts w:ascii="Times New Roman" w:hAnsi="Times New Roman" w:cs="Times New Roman"/>
                <w:b/>
                <w:bCs/>
                <w:sz w:val="24"/>
                <w:szCs w:val="24"/>
              </w:rPr>
              <w:t>m. planinė reikšmė</w:t>
            </w:r>
          </w:p>
        </w:tc>
        <w:tc>
          <w:tcPr>
            <w:tcW w:w="1438" w:type="dxa"/>
            <w:vMerge w:val="restart"/>
            <w:tcBorders>
              <w:bottom w:val="single" w:sz="4" w:space="0" w:color="auto"/>
            </w:tcBorders>
            <w:shd w:val="clear" w:color="auto" w:fill="BFBFBF" w:themeFill="background1" w:themeFillShade="BF"/>
            <w:vAlign w:val="center"/>
            <w:hideMark/>
          </w:tcPr>
          <w:p w14:paraId="1510B403" w14:textId="3365CF2A" w:rsidR="006E73F1" w:rsidRPr="00ED4C34" w:rsidRDefault="00B458C5" w:rsidP="00992989">
            <w:pPr>
              <w:pStyle w:val="Betarp"/>
              <w:jc w:val="center"/>
              <w:rPr>
                <w:rFonts w:ascii="Times New Roman" w:hAnsi="Times New Roman" w:cs="Times New Roman"/>
                <w:b/>
                <w:bCs/>
                <w:sz w:val="24"/>
                <w:szCs w:val="24"/>
              </w:rPr>
            </w:pPr>
            <w:r w:rsidRPr="00ED4C34">
              <w:rPr>
                <w:rFonts w:ascii="Times New Roman" w:hAnsi="Times New Roman" w:cs="Times New Roman"/>
                <w:b/>
                <w:bCs/>
                <w:sz w:val="24"/>
                <w:szCs w:val="24"/>
              </w:rPr>
              <w:t xml:space="preserve">2025 </w:t>
            </w:r>
            <w:r w:rsidR="30DF7046" w:rsidRPr="00ED4C34">
              <w:rPr>
                <w:rFonts w:ascii="Times New Roman" w:hAnsi="Times New Roman" w:cs="Times New Roman"/>
                <w:b/>
                <w:bCs/>
                <w:sz w:val="24"/>
                <w:szCs w:val="24"/>
              </w:rPr>
              <w:t>m. faktinė reikšmė</w:t>
            </w:r>
          </w:p>
        </w:tc>
        <w:tc>
          <w:tcPr>
            <w:tcW w:w="2620" w:type="dxa"/>
            <w:vMerge w:val="restart"/>
            <w:tcBorders>
              <w:bottom w:val="single" w:sz="4" w:space="0" w:color="auto"/>
            </w:tcBorders>
            <w:shd w:val="clear" w:color="auto" w:fill="BFBFBF" w:themeFill="background1" w:themeFillShade="BF"/>
            <w:noWrap/>
            <w:vAlign w:val="center"/>
            <w:hideMark/>
          </w:tcPr>
          <w:p w14:paraId="3CD69FD9" w14:textId="34E2A6B1" w:rsidR="006E73F1" w:rsidRPr="00ED4C34" w:rsidRDefault="006E73F1" w:rsidP="00992989">
            <w:pPr>
              <w:pStyle w:val="Betarp"/>
              <w:jc w:val="center"/>
              <w:rPr>
                <w:rFonts w:ascii="Times New Roman" w:hAnsi="Times New Roman" w:cs="Times New Roman"/>
                <w:sz w:val="24"/>
                <w:szCs w:val="24"/>
              </w:rPr>
            </w:pPr>
            <w:r w:rsidRPr="00ED4C34">
              <w:rPr>
                <w:rFonts w:ascii="Times New Roman" w:hAnsi="Times New Roman" w:cs="Times New Roman"/>
                <w:b/>
                <w:bCs/>
                <w:sz w:val="24"/>
                <w:szCs w:val="24"/>
              </w:rPr>
              <w:t>Įvykdymo procentas</w:t>
            </w:r>
          </w:p>
        </w:tc>
      </w:tr>
      <w:tr w:rsidR="006E73F1" w:rsidRPr="008128BA" w14:paraId="53302076" w14:textId="77777777" w:rsidTr="070233B9">
        <w:trPr>
          <w:trHeight w:val="780"/>
          <w:jc w:val="center"/>
        </w:trPr>
        <w:tc>
          <w:tcPr>
            <w:tcW w:w="1310" w:type="dxa"/>
            <w:shd w:val="clear" w:color="auto" w:fill="D9D9D9" w:themeFill="background1" w:themeFillShade="D9"/>
            <w:hideMark/>
          </w:tcPr>
          <w:p w14:paraId="0BE0DEAC" w14:textId="7621AA17" w:rsidR="006E73F1" w:rsidRPr="00ED4C34" w:rsidRDefault="006E73F1" w:rsidP="002C24AF">
            <w:pPr>
              <w:pStyle w:val="Betarp"/>
              <w:jc w:val="both"/>
              <w:rPr>
                <w:rFonts w:ascii="Times New Roman" w:hAnsi="Times New Roman" w:cs="Times New Roman"/>
                <w:b/>
                <w:bCs/>
                <w:sz w:val="24"/>
                <w:szCs w:val="24"/>
              </w:rPr>
            </w:pPr>
          </w:p>
        </w:tc>
        <w:tc>
          <w:tcPr>
            <w:tcW w:w="2682" w:type="dxa"/>
            <w:shd w:val="clear" w:color="auto" w:fill="D9D9D9" w:themeFill="background1" w:themeFillShade="D9"/>
            <w:hideMark/>
          </w:tcPr>
          <w:p w14:paraId="4CCB3204" w14:textId="51D8850B" w:rsidR="006E73F1" w:rsidRPr="00ED4C34" w:rsidRDefault="006E73F1" w:rsidP="002C24AF">
            <w:pPr>
              <w:pStyle w:val="Betarp"/>
              <w:jc w:val="both"/>
              <w:rPr>
                <w:rFonts w:ascii="Times New Roman" w:hAnsi="Times New Roman" w:cs="Times New Roman"/>
                <w:b/>
                <w:bCs/>
                <w:sz w:val="24"/>
                <w:szCs w:val="24"/>
              </w:rPr>
            </w:pPr>
          </w:p>
        </w:tc>
        <w:tc>
          <w:tcPr>
            <w:tcW w:w="1438" w:type="dxa"/>
            <w:vMerge/>
            <w:hideMark/>
          </w:tcPr>
          <w:p w14:paraId="2A4AB2E0" w14:textId="77777777" w:rsidR="006E73F1" w:rsidRPr="00ED4C34" w:rsidRDefault="006E73F1" w:rsidP="002C24AF">
            <w:pPr>
              <w:pStyle w:val="Betarp"/>
              <w:jc w:val="both"/>
              <w:rPr>
                <w:rFonts w:ascii="Times New Roman" w:hAnsi="Times New Roman" w:cs="Times New Roman"/>
                <w:b/>
                <w:bCs/>
                <w:sz w:val="24"/>
                <w:szCs w:val="24"/>
              </w:rPr>
            </w:pPr>
          </w:p>
        </w:tc>
        <w:tc>
          <w:tcPr>
            <w:tcW w:w="1438" w:type="dxa"/>
            <w:vMerge/>
            <w:hideMark/>
          </w:tcPr>
          <w:p w14:paraId="0EBCF2AD" w14:textId="77777777" w:rsidR="006E73F1" w:rsidRPr="00ED4C34" w:rsidRDefault="006E73F1" w:rsidP="002C24AF">
            <w:pPr>
              <w:pStyle w:val="Betarp"/>
              <w:jc w:val="both"/>
              <w:rPr>
                <w:rFonts w:ascii="Times New Roman" w:hAnsi="Times New Roman" w:cs="Times New Roman"/>
                <w:b/>
                <w:bCs/>
                <w:sz w:val="24"/>
                <w:szCs w:val="24"/>
              </w:rPr>
            </w:pPr>
          </w:p>
        </w:tc>
        <w:tc>
          <w:tcPr>
            <w:tcW w:w="2620" w:type="dxa"/>
            <w:vMerge/>
            <w:hideMark/>
          </w:tcPr>
          <w:p w14:paraId="01B68C47" w14:textId="77777777" w:rsidR="006E73F1" w:rsidRPr="00ED4C34" w:rsidRDefault="006E73F1" w:rsidP="002C24AF">
            <w:pPr>
              <w:pStyle w:val="Betarp"/>
              <w:jc w:val="both"/>
              <w:rPr>
                <w:rFonts w:ascii="Times New Roman" w:hAnsi="Times New Roman" w:cs="Times New Roman"/>
                <w:b/>
                <w:bCs/>
                <w:sz w:val="24"/>
                <w:szCs w:val="24"/>
              </w:rPr>
            </w:pPr>
          </w:p>
        </w:tc>
      </w:tr>
      <w:tr w:rsidR="006E73F1" w:rsidRPr="008128BA" w14:paraId="7D1B3503" w14:textId="77777777" w:rsidTr="070233B9">
        <w:trPr>
          <w:trHeight w:val="1755"/>
          <w:jc w:val="center"/>
        </w:trPr>
        <w:tc>
          <w:tcPr>
            <w:tcW w:w="1310" w:type="dxa"/>
            <w:hideMark/>
          </w:tcPr>
          <w:p w14:paraId="36F8037F" w14:textId="5C8DCEC5" w:rsidR="006E73F1" w:rsidRPr="00ED4C34" w:rsidRDefault="000331C3" w:rsidP="00CB46B3">
            <w:pPr>
              <w:pStyle w:val="Betarp"/>
              <w:jc w:val="both"/>
              <w:rPr>
                <w:rFonts w:ascii="Times New Roman" w:hAnsi="Times New Roman" w:cs="Times New Roman"/>
                <w:sz w:val="24"/>
                <w:szCs w:val="24"/>
              </w:rPr>
            </w:pPr>
            <w:r w:rsidRPr="00ED4C34">
              <w:rPr>
                <w:rFonts w:ascii="Times New Roman" w:hAnsi="Times New Roman" w:cs="Times New Roman"/>
                <w:sz w:val="24"/>
                <w:szCs w:val="24"/>
              </w:rPr>
              <w:t xml:space="preserve">E-01-001-12-01 </w:t>
            </w:r>
          </w:p>
        </w:tc>
        <w:tc>
          <w:tcPr>
            <w:tcW w:w="2682" w:type="dxa"/>
            <w:hideMark/>
          </w:tcPr>
          <w:p w14:paraId="63AAF96C" w14:textId="039DAEA7" w:rsidR="006E73F1" w:rsidRPr="00ED4C34" w:rsidRDefault="000331C3" w:rsidP="002C24AF">
            <w:pPr>
              <w:pStyle w:val="Betarp"/>
              <w:jc w:val="both"/>
              <w:rPr>
                <w:rFonts w:ascii="Times New Roman" w:hAnsi="Times New Roman" w:cs="Times New Roman"/>
                <w:sz w:val="24"/>
                <w:szCs w:val="24"/>
              </w:rPr>
            </w:pPr>
            <w:r w:rsidRPr="00ED4C34">
              <w:rPr>
                <w:rStyle w:val="Grietas"/>
                <w:rFonts w:ascii="Times New Roman" w:hAnsi="Times New Roman" w:cs="Times New Roman"/>
                <w:b w:val="0"/>
                <w:bCs w:val="0"/>
                <w:sz w:val="24"/>
                <w:szCs w:val="24"/>
              </w:rPr>
              <w:t>Vidutinės centralizuotai administruojamo valstybės nekilnojamojo turto valdymo ir ūkinės priežiūros išlaidos, tenkančios 1 kv. metrui bendro įstaigos valdomo ploto, ne daugiau kaip, eurais</w:t>
            </w:r>
          </w:p>
        </w:tc>
        <w:tc>
          <w:tcPr>
            <w:tcW w:w="1438" w:type="dxa"/>
            <w:hideMark/>
          </w:tcPr>
          <w:p w14:paraId="01086819" w14:textId="349484A3" w:rsidR="006E73F1" w:rsidRPr="00ED4C34" w:rsidRDefault="006E73F1">
            <w:pPr>
              <w:pStyle w:val="Betarp"/>
              <w:jc w:val="center"/>
              <w:rPr>
                <w:rFonts w:ascii="Times New Roman" w:eastAsia="Times New Roman" w:hAnsi="Times New Roman" w:cs="Times New Roman"/>
                <w:sz w:val="24"/>
                <w:szCs w:val="24"/>
              </w:rPr>
            </w:pPr>
          </w:p>
          <w:p w14:paraId="312F9FB8" w14:textId="63C96069" w:rsidR="006E73F1" w:rsidRPr="00ED4C34" w:rsidRDefault="2D244EA5" w:rsidP="16BBCD38">
            <w:pPr>
              <w:pStyle w:val="Betarp"/>
              <w:jc w:val="center"/>
              <w:rPr>
                <w:rFonts w:ascii="Times New Roman" w:eastAsia="Times New Roman" w:hAnsi="Times New Roman" w:cs="Times New Roman"/>
                <w:sz w:val="24"/>
                <w:szCs w:val="24"/>
              </w:rPr>
            </w:pPr>
            <w:r w:rsidRPr="00ED4C34">
              <w:rPr>
                <w:rFonts w:ascii="Times New Roman" w:hAnsi="Times New Roman" w:cs="Times New Roman"/>
                <w:sz w:val="24"/>
                <w:szCs w:val="24"/>
              </w:rPr>
              <w:t>12</w:t>
            </w:r>
          </w:p>
        </w:tc>
        <w:tc>
          <w:tcPr>
            <w:tcW w:w="1438" w:type="dxa"/>
            <w:hideMark/>
          </w:tcPr>
          <w:p w14:paraId="29CBACBB" w14:textId="70938905" w:rsidR="006E73F1" w:rsidRPr="00ED4C34" w:rsidRDefault="006E73F1" w:rsidP="070233B9">
            <w:pPr>
              <w:pStyle w:val="Betarp"/>
              <w:jc w:val="center"/>
              <w:rPr>
                <w:rFonts w:ascii="Times New Roman" w:hAnsi="Times New Roman" w:cs="Times New Roman"/>
                <w:sz w:val="24"/>
                <w:szCs w:val="24"/>
              </w:rPr>
            </w:pPr>
          </w:p>
          <w:p w14:paraId="0B0F1683" w14:textId="582FD8EF" w:rsidR="006E73F1" w:rsidRPr="00ED4C34" w:rsidRDefault="1DAB9E88" w:rsidP="070233B9">
            <w:pPr>
              <w:pStyle w:val="Betarp"/>
              <w:jc w:val="center"/>
              <w:rPr>
                <w:rFonts w:ascii="Times New Roman" w:hAnsi="Times New Roman" w:cs="Times New Roman"/>
                <w:sz w:val="24"/>
                <w:szCs w:val="24"/>
              </w:rPr>
            </w:pPr>
            <w:r w:rsidRPr="00ED4C34">
              <w:rPr>
                <w:rFonts w:ascii="Times New Roman" w:hAnsi="Times New Roman" w:cs="Times New Roman"/>
                <w:sz w:val="24"/>
                <w:szCs w:val="24"/>
              </w:rPr>
              <w:t>21</w:t>
            </w:r>
            <w:r w:rsidR="00233CE1" w:rsidRPr="00ED4C34">
              <w:rPr>
                <w:rFonts w:ascii="Times New Roman" w:hAnsi="Times New Roman" w:cs="Times New Roman"/>
                <w:sz w:val="24"/>
                <w:szCs w:val="24"/>
              </w:rPr>
              <w:t>,</w:t>
            </w:r>
            <w:r w:rsidRPr="00ED4C34">
              <w:rPr>
                <w:rFonts w:ascii="Times New Roman" w:hAnsi="Times New Roman" w:cs="Times New Roman"/>
                <w:sz w:val="24"/>
                <w:szCs w:val="24"/>
              </w:rPr>
              <w:t>96</w:t>
            </w:r>
          </w:p>
        </w:tc>
        <w:tc>
          <w:tcPr>
            <w:tcW w:w="2620" w:type="dxa"/>
            <w:hideMark/>
          </w:tcPr>
          <w:p w14:paraId="441AEC8D" w14:textId="77777777" w:rsidR="008C19D1" w:rsidRPr="00ED4C34" w:rsidRDefault="008C19D1" w:rsidP="070233B9">
            <w:pPr>
              <w:pStyle w:val="Betarp"/>
              <w:jc w:val="center"/>
              <w:rPr>
                <w:rFonts w:ascii="Times New Roman" w:hAnsi="Times New Roman" w:cs="Times New Roman"/>
                <w:sz w:val="24"/>
                <w:szCs w:val="24"/>
              </w:rPr>
            </w:pPr>
          </w:p>
          <w:p w14:paraId="5CDF49B3" w14:textId="7391DF61" w:rsidR="006E73F1" w:rsidRPr="00ED4C34" w:rsidRDefault="1DAB9E88" w:rsidP="070233B9">
            <w:pPr>
              <w:pStyle w:val="Betarp"/>
              <w:jc w:val="center"/>
              <w:rPr>
                <w:rFonts w:ascii="Times New Roman" w:hAnsi="Times New Roman" w:cs="Times New Roman"/>
                <w:sz w:val="24"/>
                <w:szCs w:val="24"/>
              </w:rPr>
            </w:pPr>
            <w:r w:rsidRPr="00ED4C34">
              <w:rPr>
                <w:rFonts w:ascii="Times New Roman" w:hAnsi="Times New Roman" w:cs="Times New Roman"/>
                <w:sz w:val="24"/>
                <w:szCs w:val="24"/>
              </w:rPr>
              <w:t>54</w:t>
            </w:r>
            <w:r w:rsidR="00233CE1" w:rsidRPr="00ED4C34">
              <w:rPr>
                <w:rFonts w:ascii="Times New Roman" w:hAnsi="Times New Roman" w:cs="Times New Roman"/>
                <w:sz w:val="24"/>
                <w:szCs w:val="24"/>
              </w:rPr>
              <w:t>,</w:t>
            </w:r>
            <w:r w:rsidRPr="00ED4C34">
              <w:rPr>
                <w:rFonts w:ascii="Times New Roman" w:hAnsi="Times New Roman" w:cs="Times New Roman"/>
                <w:sz w:val="24"/>
                <w:szCs w:val="24"/>
              </w:rPr>
              <w:t>46</w:t>
            </w:r>
          </w:p>
        </w:tc>
      </w:tr>
      <w:tr w:rsidR="006E73F1" w:rsidRPr="008128BA" w14:paraId="462EF996" w14:textId="77777777" w:rsidTr="070233B9">
        <w:trPr>
          <w:trHeight w:val="531"/>
          <w:jc w:val="center"/>
        </w:trPr>
        <w:tc>
          <w:tcPr>
            <w:tcW w:w="9488" w:type="dxa"/>
            <w:gridSpan w:val="5"/>
            <w:shd w:val="clear" w:color="auto" w:fill="BFBFBF" w:themeFill="background1" w:themeFillShade="BF"/>
          </w:tcPr>
          <w:p w14:paraId="17CD9DE4" w14:textId="7966841C" w:rsidR="006E73F1" w:rsidRPr="00ED4C34" w:rsidRDefault="4C4C9972" w:rsidP="17074502">
            <w:pPr>
              <w:pStyle w:val="Betarp"/>
              <w:spacing w:line="276" w:lineRule="auto"/>
              <w:jc w:val="both"/>
              <w:rPr>
                <w:rFonts w:ascii="Times New Roman" w:eastAsia="Times New Roman" w:hAnsi="Times New Roman" w:cs="Times New Roman"/>
                <w:sz w:val="24"/>
                <w:szCs w:val="24"/>
              </w:rPr>
            </w:pPr>
            <w:r w:rsidRPr="00ED4C34">
              <w:rPr>
                <w:rFonts w:ascii="Times New Roman" w:hAnsi="Times New Roman" w:cs="Times New Roman"/>
                <w:b/>
                <w:bCs/>
                <w:sz w:val="24"/>
                <w:szCs w:val="24"/>
              </w:rPr>
              <w:t xml:space="preserve">Vertinimo kriterijaus įvykdymo procentas </w:t>
            </w:r>
            <w:r w:rsidR="459EE0AD" w:rsidRPr="00ED4C34">
              <w:rPr>
                <w:rFonts w:ascii="Times New Roman" w:hAnsi="Times New Roman" w:cs="Times New Roman"/>
                <w:b/>
                <w:bCs/>
                <w:sz w:val="24"/>
                <w:szCs w:val="24"/>
              </w:rPr>
              <w:t>–</w:t>
            </w:r>
            <w:r w:rsidR="00233CE1" w:rsidRPr="00ED4C34">
              <w:rPr>
                <w:rFonts w:ascii="Times New Roman" w:hAnsi="Times New Roman" w:cs="Times New Roman"/>
                <w:b/>
                <w:bCs/>
                <w:strike/>
                <w:sz w:val="24"/>
                <w:szCs w:val="24"/>
              </w:rPr>
              <w:t xml:space="preserve"> </w:t>
            </w:r>
            <w:r w:rsidR="32ABB5C3" w:rsidRPr="00ED4C34">
              <w:rPr>
                <w:rFonts w:ascii="Times New Roman" w:hAnsi="Times New Roman" w:cs="Times New Roman"/>
                <w:b/>
                <w:bCs/>
                <w:sz w:val="24"/>
                <w:szCs w:val="24"/>
              </w:rPr>
              <w:t>54</w:t>
            </w:r>
            <w:r w:rsidR="00233CE1" w:rsidRPr="00ED4C34">
              <w:rPr>
                <w:rFonts w:ascii="Times New Roman" w:hAnsi="Times New Roman" w:cs="Times New Roman"/>
                <w:b/>
                <w:bCs/>
                <w:sz w:val="24"/>
                <w:szCs w:val="24"/>
              </w:rPr>
              <w:t>,</w:t>
            </w:r>
            <w:r w:rsidR="32ABB5C3" w:rsidRPr="00ED4C34">
              <w:rPr>
                <w:rFonts w:ascii="Times New Roman" w:hAnsi="Times New Roman" w:cs="Times New Roman"/>
                <w:b/>
                <w:bCs/>
                <w:sz w:val="24"/>
                <w:szCs w:val="24"/>
              </w:rPr>
              <w:t>46. F</w:t>
            </w:r>
            <w:r w:rsidR="32ABB5C3" w:rsidRPr="00ED4C34">
              <w:rPr>
                <w:rFonts w:ascii="Times New Roman" w:eastAsia="Times New Roman" w:hAnsi="Times New Roman" w:cs="Times New Roman"/>
                <w:b/>
                <w:bCs/>
                <w:sz w:val="24"/>
                <w:szCs w:val="24"/>
              </w:rPr>
              <w:t xml:space="preserve">aktinė reikšmė viršijo planą dėl rinkos kainų pabrangimo. </w:t>
            </w:r>
            <w:r w:rsidR="34D87568" w:rsidRPr="00ED4C34">
              <w:rPr>
                <w:rFonts w:ascii="Times New Roman" w:eastAsia="Times New Roman" w:hAnsi="Times New Roman" w:cs="Times New Roman"/>
                <w:b/>
                <w:bCs/>
                <w:color w:val="000000" w:themeColor="text1"/>
                <w:sz w:val="24"/>
                <w:szCs w:val="24"/>
              </w:rPr>
              <w:t xml:space="preserve">Stebėsenos rodiklio planuota reikšmė nepasiekta dėl </w:t>
            </w:r>
            <w:r w:rsidR="00EC2008">
              <w:rPr>
                <w:rFonts w:ascii="Times New Roman" w:eastAsia="Times New Roman" w:hAnsi="Times New Roman" w:cs="Times New Roman"/>
                <w:b/>
                <w:bCs/>
                <w:color w:val="000000" w:themeColor="text1"/>
                <w:sz w:val="24"/>
                <w:szCs w:val="24"/>
              </w:rPr>
              <w:t>labai</w:t>
            </w:r>
            <w:r w:rsidR="34D87568" w:rsidRPr="00ED4C34">
              <w:rPr>
                <w:rFonts w:ascii="Times New Roman" w:eastAsia="Times New Roman" w:hAnsi="Times New Roman" w:cs="Times New Roman"/>
                <w:b/>
                <w:bCs/>
                <w:color w:val="000000" w:themeColor="text1"/>
                <w:sz w:val="24"/>
                <w:szCs w:val="24"/>
              </w:rPr>
              <w:t xml:space="preserve"> išaugusių komunalinių išlaidų</w:t>
            </w:r>
            <w:r w:rsidR="003715A4">
              <w:rPr>
                <w:rFonts w:ascii="Times New Roman" w:eastAsia="Times New Roman" w:hAnsi="Times New Roman" w:cs="Times New Roman"/>
                <w:b/>
                <w:bCs/>
                <w:color w:val="000000" w:themeColor="text1"/>
                <w:sz w:val="24"/>
                <w:szCs w:val="24"/>
              </w:rPr>
              <w:t>.</w:t>
            </w:r>
          </w:p>
        </w:tc>
      </w:tr>
    </w:tbl>
    <w:p w14:paraId="2B9A9DCE" w14:textId="77777777" w:rsidR="00CB46B3" w:rsidRDefault="00CB46B3" w:rsidP="00C851D8">
      <w:pPr>
        <w:widowControl w:val="0"/>
        <w:spacing w:line="240" w:lineRule="auto"/>
        <w:rPr>
          <w:rFonts w:ascii="Times New Roman" w:eastAsiaTheme="minorEastAsia" w:hAnsi="Times New Roman" w:cs="Times New Roman"/>
          <w:b/>
          <w:bCs/>
        </w:rPr>
      </w:pPr>
    </w:p>
    <w:p w14:paraId="3D78EED4" w14:textId="4C7A646D" w:rsidR="00CB46B3" w:rsidRPr="00233CE1" w:rsidRDefault="4D7793AF" w:rsidP="005576DE">
      <w:pPr>
        <w:pStyle w:val="Pagrindinistekstas"/>
        <w:widowControl w:val="0"/>
        <w:shd w:val="clear" w:color="auto" w:fill="DEEAF6" w:themeFill="accent1" w:themeFillTint="33"/>
        <w:spacing w:after="0" w:line="276" w:lineRule="auto"/>
        <w:ind w:firstLine="567"/>
        <w:jc w:val="both"/>
        <w:rPr>
          <w:rFonts w:ascii="Times New Roman" w:eastAsia="Times New Roman" w:hAnsi="Times New Roman" w:cs="Times New Roman"/>
          <w:b/>
          <w:bCs/>
          <w:sz w:val="24"/>
          <w:szCs w:val="24"/>
        </w:rPr>
      </w:pPr>
      <w:r w:rsidRPr="00C340B6">
        <w:rPr>
          <w:rFonts w:ascii="Times New Roman" w:hAnsi="Times New Roman" w:cs="Times New Roman"/>
          <w:b/>
          <w:bCs/>
          <w:sz w:val="24"/>
          <w:szCs w:val="24"/>
          <w:shd w:val="clear" w:color="auto" w:fill="DEEAF6" w:themeFill="accent1" w:themeFillTint="33"/>
        </w:rPr>
        <w:t>R-01-001-12-01-01</w:t>
      </w:r>
      <w:r w:rsidR="005576DE" w:rsidRPr="005576DE">
        <w:rPr>
          <w:rFonts w:ascii="Times New Roman" w:eastAsia="Times New Roman" w:hAnsi="Times New Roman" w:cs="Times New Roman"/>
          <w:b/>
          <w:bCs/>
          <w:sz w:val="24"/>
          <w:szCs w:val="24"/>
        </w:rPr>
        <w:t xml:space="preserve"> </w:t>
      </w:r>
      <w:r w:rsidR="005576DE" w:rsidRPr="005E2185">
        <w:rPr>
          <w:rFonts w:ascii="Times New Roman" w:eastAsia="Times New Roman" w:hAnsi="Times New Roman" w:cs="Times New Roman"/>
          <w:b/>
          <w:bCs/>
          <w:sz w:val="24"/>
          <w:szCs w:val="24"/>
        </w:rPr>
        <w:t>Centralizuotai turtą administruojamų įstaigų</w:t>
      </w:r>
      <w:r w:rsidR="005576DE" w:rsidRPr="00BC0C88">
        <w:rPr>
          <w:rFonts w:ascii="Times New Roman" w:eastAsia="Times New Roman" w:hAnsi="Times New Roman" w:cs="Times New Roman"/>
          <w:b/>
          <w:bCs/>
          <w:sz w:val="24"/>
          <w:szCs w:val="24"/>
        </w:rPr>
        <w:t xml:space="preserve"> darbuotojų pasitenkinimas darbo vieta ir jos aprūpinimu darbo priemonėmis, ne mažiau kaip, proc.</w:t>
      </w:r>
    </w:p>
    <w:p w14:paraId="08158512" w14:textId="77777777" w:rsidR="00233CE1" w:rsidRDefault="00233CE1"/>
    <w:tbl>
      <w:tblPr>
        <w:tblStyle w:val="Lentelstinklelis"/>
        <w:tblW w:w="9634" w:type="dxa"/>
        <w:tblLook w:val="04A0" w:firstRow="1" w:lastRow="0" w:firstColumn="1" w:lastColumn="0" w:noHBand="0" w:noVBand="1"/>
      </w:tblPr>
      <w:tblGrid>
        <w:gridCol w:w="1323"/>
        <w:gridCol w:w="2682"/>
        <w:gridCol w:w="1438"/>
        <w:gridCol w:w="1438"/>
        <w:gridCol w:w="2753"/>
      </w:tblGrid>
      <w:tr w:rsidR="00CB46B3" w:rsidRPr="003F0884" w14:paraId="6CC6057B" w14:textId="77777777" w:rsidTr="0008775A">
        <w:trPr>
          <w:trHeight w:val="1109"/>
        </w:trPr>
        <w:tc>
          <w:tcPr>
            <w:tcW w:w="1323" w:type="dxa"/>
            <w:tcBorders>
              <w:bottom w:val="single" w:sz="4" w:space="0" w:color="auto"/>
            </w:tcBorders>
            <w:shd w:val="clear" w:color="auto" w:fill="BFBFBF" w:themeFill="background1" w:themeFillShade="BF"/>
            <w:vAlign w:val="center"/>
            <w:hideMark/>
          </w:tcPr>
          <w:p w14:paraId="3034F95A" w14:textId="77777777" w:rsidR="00CB46B3" w:rsidRPr="00E5438E" w:rsidRDefault="00CB46B3" w:rsidP="00992989">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Stebėsenos rodiklio kodas</w:t>
            </w:r>
          </w:p>
        </w:tc>
        <w:tc>
          <w:tcPr>
            <w:tcW w:w="2682" w:type="dxa"/>
            <w:tcBorders>
              <w:bottom w:val="single" w:sz="4" w:space="0" w:color="auto"/>
            </w:tcBorders>
            <w:shd w:val="clear" w:color="auto" w:fill="BFBFBF" w:themeFill="background1" w:themeFillShade="BF"/>
            <w:vAlign w:val="center"/>
            <w:hideMark/>
          </w:tcPr>
          <w:p w14:paraId="7B4EBCB2" w14:textId="77777777" w:rsidR="00CB46B3" w:rsidRPr="00E5438E" w:rsidRDefault="00CB46B3" w:rsidP="00992989">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Stebėsenos rodiklio  pavadinimas, matavimo vienetai</w:t>
            </w:r>
          </w:p>
        </w:tc>
        <w:tc>
          <w:tcPr>
            <w:tcW w:w="1438" w:type="dxa"/>
            <w:vMerge w:val="restart"/>
            <w:tcBorders>
              <w:bottom w:val="single" w:sz="4" w:space="0" w:color="auto"/>
            </w:tcBorders>
            <w:shd w:val="clear" w:color="auto" w:fill="BFBFBF" w:themeFill="background1" w:themeFillShade="BF"/>
            <w:vAlign w:val="center"/>
            <w:hideMark/>
          </w:tcPr>
          <w:p w14:paraId="16A9F20D" w14:textId="0C134CF7" w:rsidR="00CB46B3" w:rsidRPr="00E5438E" w:rsidRDefault="4D7793AF" w:rsidP="00992989">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202</w:t>
            </w:r>
            <w:r w:rsidR="51FBB2B9" w:rsidRPr="00E5438E">
              <w:rPr>
                <w:rFonts w:ascii="Times New Roman" w:hAnsi="Times New Roman" w:cs="Times New Roman"/>
                <w:b/>
                <w:bCs/>
                <w:sz w:val="24"/>
                <w:szCs w:val="24"/>
              </w:rPr>
              <w:t>5</w:t>
            </w:r>
            <w:r w:rsidRPr="00E5438E">
              <w:rPr>
                <w:rFonts w:ascii="Times New Roman" w:hAnsi="Times New Roman" w:cs="Times New Roman"/>
                <w:b/>
                <w:bCs/>
                <w:sz w:val="24"/>
                <w:szCs w:val="24"/>
              </w:rPr>
              <w:t xml:space="preserve"> m. planinė reikšmė</w:t>
            </w:r>
          </w:p>
        </w:tc>
        <w:tc>
          <w:tcPr>
            <w:tcW w:w="1438" w:type="dxa"/>
            <w:vMerge w:val="restart"/>
            <w:tcBorders>
              <w:bottom w:val="single" w:sz="4" w:space="0" w:color="auto"/>
            </w:tcBorders>
            <w:shd w:val="clear" w:color="auto" w:fill="BFBFBF" w:themeFill="background1" w:themeFillShade="BF"/>
            <w:vAlign w:val="center"/>
            <w:hideMark/>
          </w:tcPr>
          <w:p w14:paraId="10B79A18" w14:textId="407EEB9C" w:rsidR="00CB46B3" w:rsidRPr="00E5438E" w:rsidRDefault="4D7793AF" w:rsidP="00992989">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202</w:t>
            </w:r>
            <w:r w:rsidR="03BC59C1" w:rsidRPr="00E5438E">
              <w:rPr>
                <w:rFonts w:ascii="Times New Roman" w:hAnsi="Times New Roman" w:cs="Times New Roman"/>
                <w:b/>
                <w:bCs/>
                <w:sz w:val="24"/>
                <w:szCs w:val="24"/>
              </w:rPr>
              <w:t>5</w:t>
            </w:r>
            <w:r w:rsidRPr="00E5438E">
              <w:rPr>
                <w:rFonts w:ascii="Times New Roman" w:hAnsi="Times New Roman" w:cs="Times New Roman"/>
                <w:b/>
                <w:bCs/>
                <w:sz w:val="24"/>
                <w:szCs w:val="24"/>
              </w:rPr>
              <w:t xml:space="preserve"> m. faktinė reikšmė</w:t>
            </w:r>
          </w:p>
        </w:tc>
        <w:tc>
          <w:tcPr>
            <w:tcW w:w="2753" w:type="dxa"/>
            <w:vMerge w:val="restart"/>
            <w:tcBorders>
              <w:bottom w:val="single" w:sz="4" w:space="0" w:color="auto"/>
            </w:tcBorders>
            <w:shd w:val="clear" w:color="auto" w:fill="BFBFBF" w:themeFill="background1" w:themeFillShade="BF"/>
            <w:noWrap/>
            <w:vAlign w:val="center"/>
            <w:hideMark/>
          </w:tcPr>
          <w:p w14:paraId="6E9F3520" w14:textId="3C9EBA89" w:rsidR="00CB46B3" w:rsidRPr="00E5438E" w:rsidRDefault="00CB46B3" w:rsidP="00992989">
            <w:pPr>
              <w:pStyle w:val="Betarp"/>
              <w:jc w:val="center"/>
              <w:rPr>
                <w:rFonts w:ascii="Times New Roman" w:hAnsi="Times New Roman" w:cs="Times New Roman"/>
                <w:sz w:val="24"/>
                <w:szCs w:val="24"/>
              </w:rPr>
            </w:pPr>
            <w:r w:rsidRPr="00E5438E">
              <w:rPr>
                <w:rFonts w:ascii="Times New Roman" w:hAnsi="Times New Roman" w:cs="Times New Roman"/>
                <w:b/>
                <w:bCs/>
                <w:sz w:val="24"/>
                <w:szCs w:val="24"/>
              </w:rPr>
              <w:t>Įvykdymo procentas</w:t>
            </w:r>
          </w:p>
        </w:tc>
      </w:tr>
      <w:tr w:rsidR="00CB46B3" w:rsidRPr="003F0884" w14:paraId="00D01417" w14:textId="77777777" w:rsidTr="0008775A">
        <w:trPr>
          <w:trHeight w:val="780"/>
        </w:trPr>
        <w:tc>
          <w:tcPr>
            <w:tcW w:w="1323" w:type="dxa"/>
            <w:shd w:val="clear" w:color="auto" w:fill="D9D9D9" w:themeFill="background1" w:themeFillShade="D9"/>
            <w:hideMark/>
          </w:tcPr>
          <w:p w14:paraId="03CD3F71" w14:textId="77777777" w:rsidR="00CB46B3" w:rsidRPr="00C53FA1" w:rsidRDefault="00CB46B3" w:rsidP="008F107A">
            <w:pPr>
              <w:pStyle w:val="Betarp"/>
              <w:jc w:val="both"/>
              <w:rPr>
                <w:rFonts w:ascii="Times New Roman" w:hAnsi="Times New Roman" w:cs="Times New Roman"/>
                <w:b/>
                <w:bCs/>
                <w:strike/>
                <w:sz w:val="22"/>
                <w:szCs w:val="22"/>
              </w:rPr>
            </w:pPr>
          </w:p>
        </w:tc>
        <w:tc>
          <w:tcPr>
            <w:tcW w:w="2682" w:type="dxa"/>
            <w:shd w:val="clear" w:color="auto" w:fill="D9D9D9" w:themeFill="background1" w:themeFillShade="D9"/>
            <w:hideMark/>
          </w:tcPr>
          <w:p w14:paraId="740779FC" w14:textId="77777777" w:rsidR="00CB46B3" w:rsidRPr="00C53FA1" w:rsidRDefault="00CB46B3" w:rsidP="008F107A">
            <w:pPr>
              <w:pStyle w:val="Betarp"/>
              <w:rPr>
                <w:rFonts w:ascii="Times New Roman" w:hAnsi="Times New Roman" w:cs="Times New Roman"/>
                <w:b/>
                <w:bCs/>
                <w:strike/>
                <w:sz w:val="22"/>
                <w:szCs w:val="22"/>
              </w:rPr>
            </w:pPr>
            <w:r w:rsidRPr="00C53FA1">
              <w:rPr>
                <w:rFonts w:ascii="Times New Roman" w:eastAsia="Times New Roman" w:hAnsi="Times New Roman" w:cs="Times New Roman"/>
                <w:strike/>
                <w:sz w:val="24"/>
                <w:szCs w:val="24"/>
              </w:rPr>
              <w:t xml:space="preserve"> </w:t>
            </w:r>
          </w:p>
        </w:tc>
        <w:tc>
          <w:tcPr>
            <w:tcW w:w="1438" w:type="dxa"/>
            <w:vMerge/>
            <w:hideMark/>
          </w:tcPr>
          <w:p w14:paraId="5DDFB1A1" w14:textId="77777777" w:rsidR="00CB46B3" w:rsidRPr="00C53FA1" w:rsidRDefault="00CB46B3" w:rsidP="008F107A">
            <w:pPr>
              <w:pStyle w:val="Betarp"/>
              <w:ind w:firstLine="851"/>
              <w:jc w:val="both"/>
              <w:rPr>
                <w:rFonts w:ascii="Times New Roman" w:hAnsi="Times New Roman" w:cs="Times New Roman"/>
                <w:b/>
                <w:bCs/>
                <w:strike/>
                <w:sz w:val="22"/>
                <w:szCs w:val="22"/>
              </w:rPr>
            </w:pPr>
          </w:p>
        </w:tc>
        <w:tc>
          <w:tcPr>
            <w:tcW w:w="1438" w:type="dxa"/>
            <w:vMerge/>
            <w:hideMark/>
          </w:tcPr>
          <w:p w14:paraId="69AE5BB5" w14:textId="77777777" w:rsidR="00CB46B3" w:rsidRPr="00C53FA1" w:rsidRDefault="00CB46B3" w:rsidP="008F107A">
            <w:pPr>
              <w:pStyle w:val="Betarp"/>
              <w:ind w:firstLine="851"/>
              <w:jc w:val="both"/>
              <w:rPr>
                <w:rFonts w:ascii="Times New Roman" w:hAnsi="Times New Roman" w:cs="Times New Roman"/>
                <w:b/>
                <w:bCs/>
                <w:strike/>
                <w:sz w:val="22"/>
                <w:szCs w:val="22"/>
              </w:rPr>
            </w:pPr>
          </w:p>
        </w:tc>
        <w:tc>
          <w:tcPr>
            <w:tcW w:w="2753" w:type="dxa"/>
            <w:vMerge/>
            <w:hideMark/>
          </w:tcPr>
          <w:p w14:paraId="61011002" w14:textId="77777777" w:rsidR="00CB46B3" w:rsidRPr="00C53FA1" w:rsidRDefault="00CB46B3" w:rsidP="008F107A">
            <w:pPr>
              <w:pStyle w:val="Betarp"/>
              <w:ind w:firstLine="851"/>
              <w:jc w:val="both"/>
              <w:rPr>
                <w:rFonts w:ascii="Times New Roman" w:hAnsi="Times New Roman" w:cs="Times New Roman"/>
                <w:b/>
                <w:bCs/>
                <w:strike/>
                <w:sz w:val="22"/>
                <w:szCs w:val="22"/>
              </w:rPr>
            </w:pPr>
          </w:p>
        </w:tc>
      </w:tr>
      <w:tr w:rsidR="00CB46B3" w:rsidRPr="003F0884" w14:paraId="445E5807" w14:textId="77777777" w:rsidTr="0008775A">
        <w:trPr>
          <w:trHeight w:val="1785"/>
        </w:trPr>
        <w:tc>
          <w:tcPr>
            <w:tcW w:w="1323" w:type="dxa"/>
            <w:hideMark/>
          </w:tcPr>
          <w:p w14:paraId="499F7765" w14:textId="77777777" w:rsidR="00CB46B3" w:rsidRPr="00ED4C34" w:rsidRDefault="00CB46B3" w:rsidP="008F107A">
            <w:pPr>
              <w:pStyle w:val="Betarp"/>
              <w:jc w:val="both"/>
              <w:rPr>
                <w:rFonts w:ascii="Times New Roman" w:hAnsi="Times New Roman" w:cs="Times New Roman"/>
                <w:sz w:val="24"/>
                <w:szCs w:val="24"/>
              </w:rPr>
            </w:pPr>
            <w:r w:rsidRPr="00ED4C34">
              <w:rPr>
                <w:rFonts w:ascii="Times New Roman" w:hAnsi="Times New Roman" w:cs="Times New Roman"/>
                <w:sz w:val="24"/>
                <w:szCs w:val="24"/>
              </w:rPr>
              <w:t>R-01-001-12-01-01</w:t>
            </w:r>
          </w:p>
        </w:tc>
        <w:tc>
          <w:tcPr>
            <w:tcW w:w="2682" w:type="dxa"/>
            <w:hideMark/>
          </w:tcPr>
          <w:p w14:paraId="05B42AA6" w14:textId="4D518B8B" w:rsidR="00CB46B3" w:rsidRPr="00D25E0A" w:rsidRDefault="00D25E0A" w:rsidP="00E5438E">
            <w:pPr>
              <w:pStyle w:val="Betarp"/>
              <w:spacing w:line="276" w:lineRule="auto"/>
              <w:jc w:val="both"/>
              <w:rPr>
                <w:rFonts w:ascii="Times New Roman" w:eastAsia="Times New Roman" w:hAnsi="Times New Roman" w:cs="Times New Roman"/>
                <w:sz w:val="24"/>
                <w:szCs w:val="24"/>
              </w:rPr>
            </w:pPr>
            <w:r w:rsidRPr="00D25E0A">
              <w:rPr>
                <w:rFonts w:ascii="Times New Roman" w:hAnsi="Times New Roman" w:cs="Times New Roman"/>
                <w:sz w:val="24"/>
                <w:szCs w:val="24"/>
              </w:rPr>
              <w:t>Centralizuotai turtą administruojamų įstaigų darbuotojai, teigiamai vertinantys darbo vietą ir aprūpinimą darbo priemonėmis, ne mažiau kaip, proc.</w:t>
            </w:r>
          </w:p>
        </w:tc>
        <w:tc>
          <w:tcPr>
            <w:tcW w:w="1438" w:type="dxa"/>
            <w:hideMark/>
          </w:tcPr>
          <w:p w14:paraId="7130DB49" w14:textId="77777777" w:rsidR="00374C9B" w:rsidRPr="00ED4C34" w:rsidRDefault="00374C9B" w:rsidP="000769B9">
            <w:pPr>
              <w:pStyle w:val="Betarp"/>
              <w:ind w:firstLine="851"/>
              <w:jc w:val="center"/>
              <w:rPr>
                <w:rFonts w:ascii="Times New Roman" w:hAnsi="Times New Roman" w:cs="Times New Roman"/>
                <w:sz w:val="24"/>
                <w:szCs w:val="24"/>
              </w:rPr>
            </w:pPr>
          </w:p>
          <w:p w14:paraId="6BD4CFC9" w14:textId="28793E68" w:rsidR="00CB46B3" w:rsidRPr="00ED4C34" w:rsidRDefault="00992989" w:rsidP="00910419">
            <w:pPr>
              <w:pStyle w:val="Betarp"/>
              <w:jc w:val="center"/>
              <w:rPr>
                <w:rFonts w:ascii="Times New Roman" w:hAnsi="Times New Roman" w:cs="Times New Roman"/>
                <w:sz w:val="24"/>
                <w:szCs w:val="24"/>
              </w:rPr>
            </w:pPr>
            <w:r w:rsidRPr="00ED4C34">
              <w:rPr>
                <w:rFonts w:ascii="Times New Roman" w:hAnsi="Times New Roman" w:cs="Times New Roman"/>
                <w:sz w:val="24"/>
                <w:szCs w:val="24"/>
              </w:rPr>
              <w:t>–</w:t>
            </w:r>
          </w:p>
        </w:tc>
        <w:tc>
          <w:tcPr>
            <w:tcW w:w="1438" w:type="dxa"/>
            <w:hideMark/>
          </w:tcPr>
          <w:p w14:paraId="3C8F6705" w14:textId="77777777" w:rsidR="00374C9B" w:rsidRPr="00ED4C34" w:rsidRDefault="00374C9B" w:rsidP="00910419">
            <w:pPr>
              <w:pStyle w:val="Betarp"/>
              <w:jc w:val="center"/>
              <w:rPr>
                <w:rFonts w:ascii="Times New Roman" w:hAnsi="Times New Roman" w:cs="Times New Roman"/>
                <w:sz w:val="24"/>
                <w:szCs w:val="24"/>
              </w:rPr>
            </w:pPr>
          </w:p>
          <w:p w14:paraId="5E3435AC" w14:textId="375B1869" w:rsidR="00CB46B3" w:rsidRPr="00ED4C34" w:rsidRDefault="00992989" w:rsidP="00910419">
            <w:pPr>
              <w:pStyle w:val="Betarp"/>
              <w:jc w:val="center"/>
              <w:rPr>
                <w:rFonts w:ascii="Times New Roman" w:hAnsi="Times New Roman" w:cs="Times New Roman"/>
                <w:sz w:val="24"/>
                <w:szCs w:val="24"/>
              </w:rPr>
            </w:pPr>
            <w:r w:rsidRPr="00ED4C34">
              <w:rPr>
                <w:rFonts w:ascii="Times New Roman" w:hAnsi="Times New Roman" w:cs="Times New Roman"/>
                <w:sz w:val="24"/>
                <w:szCs w:val="24"/>
              </w:rPr>
              <w:t>–</w:t>
            </w:r>
          </w:p>
        </w:tc>
        <w:tc>
          <w:tcPr>
            <w:tcW w:w="2753" w:type="dxa"/>
            <w:hideMark/>
          </w:tcPr>
          <w:p w14:paraId="4BADC355" w14:textId="77777777" w:rsidR="00374C9B" w:rsidRPr="00ED4C34" w:rsidRDefault="00374C9B" w:rsidP="00910419">
            <w:pPr>
              <w:pStyle w:val="Betarp"/>
              <w:rPr>
                <w:rFonts w:ascii="Times New Roman" w:hAnsi="Times New Roman" w:cs="Times New Roman"/>
                <w:sz w:val="24"/>
                <w:szCs w:val="24"/>
              </w:rPr>
            </w:pPr>
          </w:p>
          <w:p w14:paraId="7CBFBEF6" w14:textId="517AB385" w:rsidR="00CB46B3" w:rsidRPr="00ED4C34" w:rsidRDefault="00992989" w:rsidP="000769B9">
            <w:pPr>
              <w:pStyle w:val="Betarp"/>
              <w:jc w:val="center"/>
              <w:rPr>
                <w:rFonts w:ascii="Times New Roman" w:hAnsi="Times New Roman" w:cs="Times New Roman"/>
                <w:sz w:val="24"/>
                <w:szCs w:val="24"/>
              </w:rPr>
            </w:pPr>
            <w:r w:rsidRPr="00ED4C34">
              <w:rPr>
                <w:rFonts w:ascii="Times New Roman" w:hAnsi="Times New Roman" w:cs="Times New Roman"/>
                <w:sz w:val="24"/>
                <w:szCs w:val="24"/>
              </w:rPr>
              <w:t>–</w:t>
            </w:r>
          </w:p>
          <w:p w14:paraId="2353D2A8" w14:textId="77777777" w:rsidR="00374C9B" w:rsidRPr="00ED4C34" w:rsidRDefault="00374C9B" w:rsidP="00910419">
            <w:pPr>
              <w:jc w:val="center"/>
              <w:rPr>
                <w:rFonts w:ascii="Times New Roman" w:hAnsi="Times New Roman" w:cs="Times New Roman"/>
                <w:sz w:val="24"/>
                <w:szCs w:val="24"/>
              </w:rPr>
            </w:pPr>
          </w:p>
          <w:p w14:paraId="64A62744" w14:textId="77777777" w:rsidR="00374C9B" w:rsidRPr="00ED4C34" w:rsidRDefault="00374C9B" w:rsidP="00910419">
            <w:pPr>
              <w:jc w:val="center"/>
              <w:rPr>
                <w:rFonts w:ascii="Times New Roman" w:hAnsi="Times New Roman" w:cs="Times New Roman"/>
                <w:sz w:val="24"/>
                <w:szCs w:val="24"/>
              </w:rPr>
            </w:pPr>
          </w:p>
          <w:p w14:paraId="13FBF7CE" w14:textId="61C52EED" w:rsidR="00374C9B" w:rsidRPr="00ED4C34" w:rsidRDefault="00374C9B" w:rsidP="00910419">
            <w:pPr>
              <w:jc w:val="center"/>
              <w:rPr>
                <w:sz w:val="24"/>
                <w:szCs w:val="24"/>
              </w:rPr>
            </w:pPr>
          </w:p>
        </w:tc>
      </w:tr>
      <w:tr w:rsidR="00BD14DA" w:rsidRPr="003F0884" w14:paraId="5CE48B6D" w14:textId="77777777" w:rsidTr="0008775A">
        <w:trPr>
          <w:trHeight w:val="287"/>
        </w:trPr>
        <w:tc>
          <w:tcPr>
            <w:tcW w:w="9634" w:type="dxa"/>
            <w:gridSpan w:val="5"/>
            <w:shd w:val="clear" w:color="auto" w:fill="BFBFBF" w:themeFill="background1" w:themeFillShade="BF"/>
            <w:vAlign w:val="center"/>
          </w:tcPr>
          <w:p w14:paraId="1CD97184" w14:textId="378F2A5C" w:rsidR="00BD14DA" w:rsidRPr="00DE7D90" w:rsidRDefault="00DE7D90" w:rsidP="070233B9">
            <w:pPr>
              <w:pStyle w:val="Betarp"/>
              <w:ind w:firstLine="34"/>
              <w:rPr>
                <w:rFonts w:ascii="Times New Roman" w:eastAsia="Times New Roman" w:hAnsi="Times New Roman" w:cs="Times New Roman"/>
                <w:b/>
                <w:bCs/>
                <w:sz w:val="24"/>
                <w:szCs w:val="24"/>
              </w:rPr>
            </w:pPr>
            <w:r w:rsidRPr="00DE7D90">
              <w:rPr>
                <w:rFonts w:ascii="Times New Roman" w:hAnsi="Times New Roman" w:cs="Times New Roman"/>
                <w:b/>
                <w:bCs/>
                <w:sz w:val="24"/>
                <w:szCs w:val="24"/>
              </w:rPr>
              <w:t>Rodiklis matuojamas 1 kartą per 2 metus. 2025</w:t>
            </w:r>
            <w:r>
              <w:rPr>
                <w:rFonts w:ascii="Times New Roman" w:hAnsi="Times New Roman" w:cs="Times New Roman"/>
                <w:b/>
                <w:bCs/>
                <w:sz w:val="24"/>
                <w:szCs w:val="24"/>
              </w:rPr>
              <w:t xml:space="preserve"> </w:t>
            </w:r>
            <w:r w:rsidRPr="00DE7D90">
              <w:rPr>
                <w:rFonts w:ascii="Times New Roman" w:hAnsi="Times New Roman" w:cs="Times New Roman"/>
                <w:b/>
                <w:bCs/>
                <w:sz w:val="24"/>
                <w:szCs w:val="24"/>
              </w:rPr>
              <w:t xml:space="preserve">m. </w:t>
            </w:r>
            <w:r w:rsidR="004C48AF">
              <w:rPr>
                <w:rFonts w:ascii="Times New Roman" w:hAnsi="Times New Roman" w:cs="Times New Roman"/>
                <w:b/>
                <w:bCs/>
                <w:sz w:val="24"/>
                <w:szCs w:val="24"/>
              </w:rPr>
              <w:t>darbuotojų apklausa nevykdyta.</w:t>
            </w:r>
          </w:p>
        </w:tc>
      </w:tr>
    </w:tbl>
    <w:p w14:paraId="0A451509" w14:textId="77777777" w:rsidR="005324E0" w:rsidRDefault="005324E0" w:rsidP="0082310B">
      <w:pPr>
        <w:widowControl w:val="0"/>
        <w:spacing w:line="240" w:lineRule="auto"/>
        <w:rPr>
          <w:rFonts w:ascii="Times New Roman" w:eastAsiaTheme="minorEastAsia" w:hAnsi="Times New Roman" w:cs="Times New Roman"/>
          <w:b/>
          <w:bCs/>
        </w:rPr>
      </w:pPr>
    </w:p>
    <w:p w14:paraId="603F98B3" w14:textId="2D70414E" w:rsidR="00B95E23" w:rsidRDefault="00B95E23" w:rsidP="0082310B">
      <w:pPr>
        <w:widowControl w:val="0"/>
        <w:spacing w:line="240" w:lineRule="auto"/>
        <w:rPr>
          <w:rFonts w:ascii="Times New Roman" w:eastAsiaTheme="minorEastAsia" w:hAnsi="Times New Roman" w:cs="Times New Roman"/>
          <w:b/>
          <w:bCs/>
        </w:rPr>
      </w:pPr>
    </w:p>
    <w:p w14:paraId="7EB0FA73" w14:textId="02A8E290" w:rsidR="005A4338" w:rsidRPr="00C340B6" w:rsidRDefault="005A4338" w:rsidP="00C340B6">
      <w:pPr>
        <w:widowControl w:val="0"/>
        <w:shd w:val="clear" w:color="auto" w:fill="BDD6EE" w:themeFill="accent1" w:themeFillTint="66"/>
        <w:spacing w:line="240" w:lineRule="auto"/>
        <w:jc w:val="both"/>
        <w:rPr>
          <w:rFonts w:ascii="Times New Roman" w:hAnsi="Times New Roman" w:cs="Times New Roman"/>
          <w:b/>
          <w:bCs/>
          <w:sz w:val="24"/>
          <w:szCs w:val="24"/>
        </w:rPr>
      </w:pPr>
      <w:r w:rsidRPr="005A4338">
        <w:rPr>
          <w:rFonts w:ascii="Times New Roman" w:hAnsi="Times New Roman" w:cs="Times New Roman"/>
          <w:b/>
          <w:bCs/>
          <w:sz w:val="24"/>
          <w:szCs w:val="24"/>
          <w:shd w:val="clear" w:color="auto" w:fill="C5E0B3" w:themeFill="accent6" w:themeFillTint="66"/>
        </w:rPr>
        <w:lastRenderedPageBreak/>
        <w:t>R-01-001-12-01-01-01</w:t>
      </w:r>
      <w:r w:rsidR="00C340B6">
        <w:rPr>
          <w:rStyle w:val="Puslapioinaosnuoroda"/>
          <w:rFonts w:ascii="Times New Roman" w:hAnsi="Times New Roman" w:cs="Times New Roman"/>
          <w:b/>
          <w:bCs/>
          <w:sz w:val="24"/>
          <w:szCs w:val="24"/>
          <w:shd w:val="clear" w:color="auto" w:fill="C5E0B3" w:themeFill="accent6" w:themeFillTint="66"/>
        </w:rPr>
        <w:footnoteReference w:id="3"/>
      </w:r>
      <w:r w:rsidRPr="005A4338">
        <w:rPr>
          <w:rFonts w:ascii="Times New Roman" w:hAnsi="Times New Roman" w:cs="Times New Roman"/>
          <w:b/>
          <w:bCs/>
          <w:sz w:val="24"/>
          <w:szCs w:val="24"/>
        </w:rPr>
        <w:t xml:space="preserve"> </w:t>
      </w:r>
      <w:r w:rsidR="00642BFC" w:rsidRPr="005A4338">
        <w:rPr>
          <w:rFonts w:ascii="Times New Roman" w:hAnsi="Times New Roman" w:cs="Times New Roman"/>
          <w:b/>
          <w:bCs/>
          <w:sz w:val="24"/>
          <w:szCs w:val="24"/>
        </w:rPr>
        <w:t>Viešųjų pirkimų atitikimas nustatytiems žaliųjų pirkimų reikalavimams pagal vertę nuo visų pirkimų, proc</w:t>
      </w:r>
      <w:r>
        <w:rPr>
          <w:rFonts w:ascii="Times New Roman" w:hAnsi="Times New Roman" w:cs="Times New Roman"/>
          <w:b/>
          <w:bCs/>
          <w:sz w:val="24"/>
          <w:szCs w:val="24"/>
        </w:rPr>
        <w:t>.</w:t>
      </w:r>
      <w:r w:rsidR="00C340B6">
        <w:rPr>
          <w:rStyle w:val="Puslapioinaosnuoroda"/>
          <w:rFonts w:ascii="Times New Roman" w:hAnsi="Times New Roman" w:cs="Times New Roman"/>
          <w:b/>
          <w:bCs/>
          <w:sz w:val="24"/>
          <w:szCs w:val="24"/>
        </w:rPr>
        <w:footnoteReference w:id="4"/>
      </w:r>
    </w:p>
    <w:p w14:paraId="30492F50" w14:textId="77777777" w:rsidR="00C340B6" w:rsidRDefault="00C340B6"/>
    <w:tbl>
      <w:tblPr>
        <w:tblStyle w:val="Lentelstinklelis"/>
        <w:tblW w:w="9634" w:type="dxa"/>
        <w:tblLook w:val="04A0" w:firstRow="1" w:lastRow="0" w:firstColumn="1" w:lastColumn="0" w:noHBand="0" w:noVBand="1"/>
      </w:tblPr>
      <w:tblGrid>
        <w:gridCol w:w="1323"/>
        <w:gridCol w:w="2682"/>
        <w:gridCol w:w="1438"/>
        <w:gridCol w:w="1438"/>
        <w:gridCol w:w="2753"/>
      </w:tblGrid>
      <w:tr w:rsidR="0073063B" w:rsidRPr="003F0884" w14:paraId="31D61208" w14:textId="77777777" w:rsidTr="002003D1">
        <w:trPr>
          <w:trHeight w:val="1109"/>
        </w:trPr>
        <w:tc>
          <w:tcPr>
            <w:tcW w:w="1323" w:type="dxa"/>
            <w:tcBorders>
              <w:bottom w:val="single" w:sz="4" w:space="0" w:color="auto"/>
            </w:tcBorders>
            <w:shd w:val="clear" w:color="auto" w:fill="BFBFBF" w:themeFill="background1" w:themeFillShade="BF"/>
            <w:vAlign w:val="center"/>
            <w:hideMark/>
          </w:tcPr>
          <w:p w14:paraId="1FD1FB45" w14:textId="77777777" w:rsidR="0073063B" w:rsidRPr="0073063B" w:rsidRDefault="0073063B" w:rsidP="002003D1">
            <w:pPr>
              <w:pStyle w:val="Betarp"/>
              <w:jc w:val="center"/>
              <w:rPr>
                <w:rFonts w:ascii="Times New Roman" w:hAnsi="Times New Roman" w:cs="Times New Roman"/>
                <w:b/>
                <w:bCs/>
                <w:sz w:val="24"/>
                <w:szCs w:val="24"/>
              </w:rPr>
            </w:pPr>
            <w:r w:rsidRPr="0073063B">
              <w:rPr>
                <w:rFonts w:ascii="Times New Roman" w:hAnsi="Times New Roman" w:cs="Times New Roman"/>
                <w:b/>
                <w:bCs/>
                <w:sz w:val="24"/>
                <w:szCs w:val="24"/>
              </w:rPr>
              <w:t>Stebėsenos rodiklio kodas</w:t>
            </w:r>
          </w:p>
        </w:tc>
        <w:tc>
          <w:tcPr>
            <w:tcW w:w="2682" w:type="dxa"/>
            <w:tcBorders>
              <w:bottom w:val="single" w:sz="4" w:space="0" w:color="auto"/>
            </w:tcBorders>
            <w:shd w:val="clear" w:color="auto" w:fill="BFBFBF" w:themeFill="background1" w:themeFillShade="BF"/>
            <w:vAlign w:val="center"/>
            <w:hideMark/>
          </w:tcPr>
          <w:p w14:paraId="55A141A2" w14:textId="77777777" w:rsidR="0073063B" w:rsidRPr="0073063B" w:rsidRDefault="0073063B" w:rsidP="002003D1">
            <w:pPr>
              <w:pStyle w:val="Betarp"/>
              <w:jc w:val="center"/>
              <w:rPr>
                <w:rFonts w:ascii="Times New Roman" w:hAnsi="Times New Roman" w:cs="Times New Roman"/>
                <w:b/>
                <w:bCs/>
                <w:sz w:val="24"/>
                <w:szCs w:val="24"/>
              </w:rPr>
            </w:pPr>
            <w:r w:rsidRPr="0073063B">
              <w:rPr>
                <w:rFonts w:ascii="Times New Roman" w:hAnsi="Times New Roman" w:cs="Times New Roman"/>
                <w:b/>
                <w:bCs/>
                <w:sz w:val="24"/>
                <w:szCs w:val="24"/>
              </w:rPr>
              <w:t>Stebėsenos rodiklio  pavadinimas, matavimo vienetai</w:t>
            </w:r>
          </w:p>
        </w:tc>
        <w:tc>
          <w:tcPr>
            <w:tcW w:w="1438" w:type="dxa"/>
            <w:vMerge w:val="restart"/>
            <w:tcBorders>
              <w:bottom w:val="single" w:sz="4" w:space="0" w:color="auto"/>
            </w:tcBorders>
            <w:shd w:val="clear" w:color="auto" w:fill="BFBFBF" w:themeFill="background1" w:themeFillShade="BF"/>
            <w:vAlign w:val="center"/>
            <w:hideMark/>
          </w:tcPr>
          <w:p w14:paraId="265FCD34" w14:textId="77777777" w:rsidR="0073063B" w:rsidRPr="0073063B" w:rsidRDefault="0073063B" w:rsidP="002003D1">
            <w:pPr>
              <w:pStyle w:val="Betarp"/>
              <w:jc w:val="center"/>
              <w:rPr>
                <w:rFonts w:ascii="Times New Roman" w:hAnsi="Times New Roman" w:cs="Times New Roman"/>
                <w:b/>
                <w:bCs/>
                <w:sz w:val="24"/>
                <w:szCs w:val="24"/>
              </w:rPr>
            </w:pPr>
            <w:r w:rsidRPr="0073063B">
              <w:rPr>
                <w:rFonts w:ascii="Times New Roman" w:hAnsi="Times New Roman" w:cs="Times New Roman"/>
                <w:b/>
                <w:bCs/>
                <w:sz w:val="24"/>
                <w:szCs w:val="24"/>
              </w:rPr>
              <w:t>2025 m. planinė reikšmė</w:t>
            </w:r>
          </w:p>
        </w:tc>
        <w:tc>
          <w:tcPr>
            <w:tcW w:w="1438" w:type="dxa"/>
            <w:vMerge w:val="restart"/>
            <w:tcBorders>
              <w:bottom w:val="single" w:sz="4" w:space="0" w:color="auto"/>
            </w:tcBorders>
            <w:shd w:val="clear" w:color="auto" w:fill="BFBFBF" w:themeFill="background1" w:themeFillShade="BF"/>
            <w:vAlign w:val="center"/>
            <w:hideMark/>
          </w:tcPr>
          <w:p w14:paraId="44500634" w14:textId="77777777" w:rsidR="0073063B" w:rsidRPr="0073063B" w:rsidRDefault="0073063B" w:rsidP="002003D1">
            <w:pPr>
              <w:pStyle w:val="Betarp"/>
              <w:jc w:val="center"/>
              <w:rPr>
                <w:rFonts w:ascii="Times New Roman" w:hAnsi="Times New Roman" w:cs="Times New Roman"/>
                <w:b/>
                <w:bCs/>
                <w:sz w:val="24"/>
                <w:szCs w:val="24"/>
              </w:rPr>
            </w:pPr>
            <w:r w:rsidRPr="0073063B">
              <w:rPr>
                <w:rFonts w:ascii="Times New Roman" w:hAnsi="Times New Roman" w:cs="Times New Roman"/>
                <w:b/>
                <w:bCs/>
                <w:sz w:val="24"/>
                <w:szCs w:val="24"/>
              </w:rPr>
              <w:t>2025 m. faktinė reikšmė</w:t>
            </w:r>
          </w:p>
        </w:tc>
        <w:tc>
          <w:tcPr>
            <w:tcW w:w="2753" w:type="dxa"/>
            <w:vMerge w:val="restart"/>
            <w:tcBorders>
              <w:bottom w:val="single" w:sz="4" w:space="0" w:color="auto"/>
            </w:tcBorders>
            <w:shd w:val="clear" w:color="auto" w:fill="BFBFBF" w:themeFill="background1" w:themeFillShade="BF"/>
            <w:noWrap/>
            <w:vAlign w:val="center"/>
            <w:hideMark/>
          </w:tcPr>
          <w:p w14:paraId="4D0AC937" w14:textId="77777777" w:rsidR="0073063B" w:rsidRPr="0073063B" w:rsidRDefault="0073063B" w:rsidP="002003D1">
            <w:pPr>
              <w:pStyle w:val="Betarp"/>
              <w:jc w:val="center"/>
              <w:rPr>
                <w:rFonts w:ascii="Times New Roman" w:hAnsi="Times New Roman" w:cs="Times New Roman"/>
                <w:sz w:val="24"/>
                <w:szCs w:val="24"/>
              </w:rPr>
            </w:pPr>
            <w:r w:rsidRPr="0073063B">
              <w:rPr>
                <w:rFonts w:ascii="Times New Roman" w:hAnsi="Times New Roman" w:cs="Times New Roman"/>
                <w:b/>
                <w:bCs/>
                <w:sz w:val="24"/>
                <w:szCs w:val="24"/>
              </w:rPr>
              <w:t>Įvykdymo procentas</w:t>
            </w:r>
          </w:p>
        </w:tc>
      </w:tr>
      <w:tr w:rsidR="0073063B" w:rsidRPr="003F0884" w14:paraId="19E0B2CB" w14:textId="77777777" w:rsidTr="002003D1">
        <w:trPr>
          <w:trHeight w:val="780"/>
        </w:trPr>
        <w:tc>
          <w:tcPr>
            <w:tcW w:w="1323" w:type="dxa"/>
            <w:shd w:val="clear" w:color="auto" w:fill="D9D9D9" w:themeFill="background1" w:themeFillShade="D9"/>
            <w:hideMark/>
          </w:tcPr>
          <w:p w14:paraId="7C7E8895" w14:textId="77777777" w:rsidR="0073063B" w:rsidRPr="0073063B" w:rsidRDefault="0073063B" w:rsidP="002003D1">
            <w:pPr>
              <w:pStyle w:val="Betarp"/>
              <w:jc w:val="both"/>
              <w:rPr>
                <w:rFonts w:ascii="Times New Roman" w:hAnsi="Times New Roman" w:cs="Times New Roman"/>
                <w:b/>
                <w:bCs/>
                <w:strike/>
                <w:sz w:val="24"/>
                <w:szCs w:val="24"/>
              </w:rPr>
            </w:pPr>
          </w:p>
        </w:tc>
        <w:tc>
          <w:tcPr>
            <w:tcW w:w="2682" w:type="dxa"/>
            <w:shd w:val="clear" w:color="auto" w:fill="D9D9D9" w:themeFill="background1" w:themeFillShade="D9"/>
            <w:hideMark/>
          </w:tcPr>
          <w:p w14:paraId="1D4AA781" w14:textId="15ABAA03" w:rsidR="0073063B" w:rsidRPr="0073063B" w:rsidRDefault="0073063B" w:rsidP="002003D1">
            <w:pPr>
              <w:pStyle w:val="Betarp"/>
              <w:rPr>
                <w:rFonts w:ascii="Times New Roman" w:hAnsi="Times New Roman" w:cs="Times New Roman"/>
                <w:b/>
                <w:bCs/>
                <w:strike/>
                <w:sz w:val="24"/>
                <w:szCs w:val="24"/>
              </w:rPr>
            </w:pPr>
          </w:p>
        </w:tc>
        <w:tc>
          <w:tcPr>
            <w:tcW w:w="1438" w:type="dxa"/>
            <w:vMerge/>
            <w:hideMark/>
          </w:tcPr>
          <w:p w14:paraId="5408BE94" w14:textId="77777777" w:rsidR="0073063B" w:rsidRPr="0073063B" w:rsidRDefault="0073063B" w:rsidP="002003D1">
            <w:pPr>
              <w:pStyle w:val="Betarp"/>
              <w:ind w:firstLine="851"/>
              <w:jc w:val="both"/>
              <w:rPr>
                <w:rFonts w:ascii="Times New Roman" w:hAnsi="Times New Roman" w:cs="Times New Roman"/>
                <w:b/>
                <w:bCs/>
                <w:strike/>
                <w:sz w:val="24"/>
                <w:szCs w:val="24"/>
              </w:rPr>
            </w:pPr>
          </w:p>
        </w:tc>
        <w:tc>
          <w:tcPr>
            <w:tcW w:w="1438" w:type="dxa"/>
            <w:vMerge/>
            <w:hideMark/>
          </w:tcPr>
          <w:p w14:paraId="6E840EE0" w14:textId="77777777" w:rsidR="0073063B" w:rsidRPr="0073063B" w:rsidRDefault="0073063B" w:rsidP="002003D1">
            <w:pPr>
              <w:pStyle w:val="Betarp"/>
              <w:ind w:firstLine="851"/>
              <w:jc w:val="both"/>
              <w:rPr>
                <w:rFonts w:ascii="Times New Roman" w:hAnsi="Times New Roman" w:cs="Times New Roman"/>
                <w:b/>
                <w:bCs/>
                <w:strike/>
                <w:sz w:val="24"/>
                <w:szCs w:val="24"/>
              </w:rPr>
            </w:pPr>
          </w:p>
        </w:tc>
        <w:tc>
          <w:tcPr>
            <w:tcW w:w="2753" w:type="dxa"/>
            <w:vMerge/>
            <w:hideMark/>
          </w:tcPr>
          <w:p w14:paraId="5B3BA2C8" w14:textId="77777777" w:rsidR="0073063B" w:rsidRPr="0073063B" w:rsidRDefault="0073063B" w:rsidP="002003D1">
            <w:pPr>
              <w:pStyle w:val="Betarp"/>
              <w:ind w:firstLine="851"/>
              <w:jc w:val="both"/>
              <w:rPr>
                <w:rFonts w:ascii="Times New Roman" w:hAnsi="Times New Roman" w:cs="Times New Roman"/>
                <w:b/>
                <w:bCs/>
                <w:strike/>
                <w:sz w:val="24"/>
                <w:szCs w:val="24"/>
              </w:rPr>
            </w:pPr>
          </w:p>
        </w:tc>
      </w:tr>
      <w:tr w:rsidR="0073063B" w:rsidRPr="003F0884" w14:paraId="7270A1E2" w14:textId="77777777" w:rsidTr="0062690E">
        <w:trPr>
          <w:trHeight w:val="1661"/>
        </w:trPr>
        <w:tc>
          <w:tcPr>
            <w:tcW w:w="1323" w:type="dxa"/>
            <w:shd w:val="clear" w:color="auto" w:fill="C5E0B3" w:themeFill="accent6" w:themeFillTint="66"/>
            <w:hideMark/>
          </w:tcPr>
          <w:p w14:paraId="5C37CAF2" w14:textId="6A5A50F0" w:rsidR="0073063B" w:rsidRPr="00C340B6" w:rsidRDefault="00363D82" w:rsidP="002003D1">
            <w:pPr>
              <w:pStyle w:val="Betarp"/>
              <w:jc w:val="both"/>
              <w:rPr>
                <w:rFonts w:ascii="Times New Roman" w:hAnsi="Times New Roman" w:cs="Times New Roman"/>
                <w:sz w:val="24"/>
                <w:szCs w:val="24"/>
                <w:vertAlign w:val="superscript"/>
              </w:rPr>
            </w:pPr>
            <w:r w:rsidRPr="005A4338">
              <w:rPr>
                <w:rFonts w:ascii="Times New Roman" w:hAnsi="Times New Roman" w:cs="Times New Roman"/>
                <w:b/>
                <w:bCs/>
                <w:sz w:val="24"/>
                <w:szCs w:val="24"/>
                <w:shd w:val="clear" w:color="auto" w:fill="C5E0B3" w:themeFill="accent6" w:themeFillTint="66"/>
              </w:rPr>
              <w:t>R-01-001-12-01-01-01</w:t>
            </w:r>
            <w:r w:rsidR="00C340B6">
              <w:rPr>
                <w:rFonts w:ascii="Times New Roman" w:hAnsi="Times New Roman" w:cs="Times New Roman"/>
                <w:b/>
                <w:bCs/>
                <w:sz w:val="24"/>
                <w:szCs w:val="24"/>
                <w:shd w:val="clear" w:color="auto" w:fill="C5E0B3" w:themeFill="accent6" w:themeFillTint="66"/>
                <w:vertAlign w:val="superscript"/>
              </w:rPr>
              <w:t>1</w:t>
            </w:r>
          </w:p>
        </w:tc>
        <w:tc>
          <w:tcPr>
            <w:tcW w:w="2682" w:type="dxa"/>
            <w:hideMark/>
          </w:tcPr>
          <w:p w14:paraId="63717E67" w14:textId="25E009F0" w:rsidR="0073063B" w:rsidRPr="00C340B6" w:rsidRDefault="0073063B" w:rsidP="005576DE">
            <w:pPr>
              <w:pStyle w:val="Pagrindinistekstas"/>
              <w:widowControl w:val="0"/>
              <w:jc w:val="both"/>
              <w:rPr>
                <w:rFonts w:ascii="Times New Roman" w:hAnsi="Times New Roman" w:cs="Times New Roman"/>
                <w:sz w:val="24"/>
                <w:szCs w:val="24"/>
                <w:vertAlign w:val="superscript"/>
              </w:rPr>
            </w:pPr>
            <w:r w:rsidRPr="0073063B">
              <w:rPr>
                <w:rFonts w:ascii="Times New Roman" w:hAnsi="Times New Roman" w:cs="Times New Roman"/>
                <w:sz w:val="24"/>
                <w:szCs w:val="24"/>
              </w:rPr>
              <w:t>Viešųjų pirkimų atitikimas nustatytiems žaliųjų pirkimų reikalavimams pagal vertę nuo visų pirkimų, proc.</w:t>
            </w:r>
            <w:r w:rsidR="00C340B6">
              <w:rPr>
                <w:rFonts w:ascii="Times New Roman" w:hAnsi="Times New Roman" w:cs="Times New Roman"/>
                <w:sz w:val="24"/>
                <w:szCs w:val="24"/>
                <w:vertAlign w:val="superscript"/>
              </w:rPr>
              <w:t>2</w:t>
            </w:r>
          </w:p>
        </w:tc>
        <w:tc>
          <w:tcPr>
            <w:tcW w:w="1438" w:type="dxa"/>
          </w:tcPr>
          <w:p w14:paraId="183F149C" w14:textId="77777777" w:rsidR="00C367D1" w:rsidRDefault="00C367D1" w:rsidP="002003D1">
            <w:pPr>
              <w:pStyle w:val="Betarp"/>
              <w:jc w:val="center"/>
              <w:rPr>
                <w:rFonts w:ascii="Times New Roman" w:hAnsi="Times New Roman" w:cs="Times New Roman"/>
                <w:sz w:val="24"/>
                <w:szCs w:val="24"/>
              </w:rPr>
            </w:pPr>
          </w:p>
          <w:p w14:paraId="0A4EE661" w14:textId="4EFB42D0" w:rsidR="0073063B" w:rsidRPr="0073063B" w:rsidRDefault="00C367D1" w:rsidP="002003D1">
            <w:pPr>
              <w:pStyle w:val="Betarp"/>
              <w:jc w:val="center"/>
              <w:rPr>
                <w:rFonts w:ascii="Times New Roman" w:hAnsi="Times New Roman" w:cs="Times New Roman"/>
                <w:sz w:val="24"/>
                <w:szCs w:val="24"/>
              </w:rPr>
            </w:pPr>
            <w:r>
              <w:rPr>
                <w:rFonts w:ascii="Times New Roman" w:hAnsi="Times New Roman" w:cs="Times New Roman"/>
                <w:sz w:val="24"/>
                <w:szCs w:val="24"/>
              </w:rPr>
              <w:t>100</w:t>
            </w:r>
          </w:p>
        </w:tc>
        <w:tc>
          <w:tcPr>
            <w:tcW w:w="1438" w:type="dxa"/>
          </w:tcPr>
          <w:p w14:paraId="478675D0" w14:textId="77777777" w:rsidR="0073063B" w:rsidRDefault="0073063B" w:rsidP="002003D1">
            <w:pPr>
              <w:pStyle w:val="Betarp"/>
              <w:jc w:val="center"/>
              <w:rPr>
                <w:rFonts w:ascii="Times New Roman" w:hAnsi="Times New Roman" w:cs="Times New Roman"/>
                <w:sz w:val="24"/>
                <w:szCs w:val="24"/>
              </w:rPr>
            </w:pPr>
          </w:p>
          <w:p w14:paraId="73B51D9F" w14:textId="7C3349BC" w:rsidR="00957E33" w:rsidRPr="0073063B" w:rsidRDefault="00957E33" w:rsidP="002003D1">
            <w:pPr>
              <w:pStyle w:val="Betarp"/>
              <w:jc w:val="center"/>
              <w:rPr>
                <w:rFonts w:ascii="Times New Roman" w:hAnsi="Times New Roman" w:cs="Times New Roman"/>
                <w:sz w:val="24"/>
                <w:szCs w:val="24"/>
              </w:rPr>
            </w:pPr>
            <w:r>
              <w:rPr>
                <w:rFonts w:ascii="Times New Roman" w:hAnsi="Times New Roman" w:cs="Times New Roman"/>
                <w:sz w:val="24"/>
                <w:szCs w:val="24"/>
              </w:rPr>
              <w:t>100</w:t>
            </w:r>
          </w:p>
        </w:tc>
        <w:tc>
          <w:tcPr>
            <w:tcW w:w="2753" w:type="dxa"/>
          </w:tcPr>
          <w:p w14:paraId="247547EE" w14:textId="77777777" w:rsidR="006C2C40" w:rsidRDefault="006C2C40" w:rsidP="002003D1">
            <w:pPr>
              <w:jc w:val="center"/>
              <w:rPr>
                <w:rFonts w:ascii="Times New Roman" w:hAnsi="Times New Roman" w:cs="Times New Roman"/>
                <w:sz w:val="24"/>
                <w:szCs w:val="24"/>
              </w:rPr>
            </w:pPr>
          </w:p>
          <w:p w14:paraId="61FAED5B" w14:textId="71D21B7C" w:rsidR="0073063B" w:rsidRPr="0073063B" w:rsidRDefault="006C2C40" w:rsidP="002003D1">
            <w:pPr>
              <w:jc w:val="center"/>
              <w:rPr>
                <w:rFonts w:ascii="Times New Roman" w:hAnsi="Times New Roman" w:cs="Times New Roman"/>
                <w:sz w:val="24"/>
                <w:szCs w:val="24"/>
              </w:rPr>
            </w:pPr>
            <w:r>
              <w:rPr>
                <w:rFonts w:ascii="Times New Roman" w:hAnsi="Times New Roman" w:cs="Times New Roman"/>
                <w:sz w:val="24"/>
                <w:szCs w:val="24"/>
              </w:rPr>
              <w:t>100</w:t>
            </w:r>
          </w:p>
        </w:tc>
      </w:tr>
      <w:tr w:rsidR="00C367D1" w:rsidRPr="003F0884" w14:paraId="32621E08" w14:textId="77777777" w:rsidTr="00C367D1">
        <w:trPr>
          <w:trHeight w:val="438"/>
        </w:trPr>
        <w:tc>
          <w:tcPr>
            <w:tcW w:w="9634" w:type="dxa"/>
            <w:gridSpan w:val="5"/>
            <w:shd w:val="clear" w:color="auto" w:fill="D0CECE" w:themeFill="background2" w:themeFillShade="E6"/>
          </w:tcPr>
          <w:p w14:paraId="66F72562" w14:textId="56F185BE" w:rsidR="00C367D1" w:rsidRPr="00957E33" w:rsidRDefault="00957E33" w:rsidP="00957E33">
            <w:pPr>
              <w:rPr>
                <w:rFonts w:ascii="Times New Roman" w:hAnsi="Times New Roman" w:cs="Times New Roman"/>
                <w:b/>
                <w:bCs/>
                <w:sz w:val="24"/>
                <w:szCs w:val="24"/>
              </w:rPr>
            </w:pPr>
            <w:r w:rsidRPr="00957E33">
              <w:rPr>
                <w:rFonts w:ascii="Times New Roman" w:hAnsi="Times New Roman" w:cs="Times New Roman"/>
                <w:b/>
                <w:bCs/>
                <w:sz w:val="24"/>
                <w:szCs w:val="24"/>
              </w:rPr>
              <w:t>Stebėsenos rodiklio planinė reikšmė pasiekta.</w:t>
            </w:r>
          </w:p>
        </w:tc>
      </w:tr>
    </w:tbl>
    <w:p w14:paraId="07AF746D" w14:textId="77777777" w:rsidR="00B95E23" w:rsidRPr="008128BA" w:rsidRDefault="00B95E23" w:rsidP="0082310B">
      <w:pPr>
        <w:widowControl w:val="0"/>
        <w:spacing w:line="240" w:lineRule="auto"/>
        <w:rPr>
          <w:rFonts w:ascii="Times New Roman" w:eastAsiaTheme="minorEastAsia" w:hAnsi="Times New Roman" w:cs="Times New Roman"/>
          <w:b/>
          <w:bCs/>
        </w:rPr>
      </w:pPr>
    </w:p>
    <w:p w14:paraId="45BBAC70" w14:textId="0E301EE9" w:rsidR="006E73F1" w:rsidRPr="00AB5E5C" w:rsidRDefault="00874072" w:rsidP="0008775A">
      <w:pPr>
        <w:pStyle w:val="Betarp"/>
        <w:shd w:val="clear" w:color="auto" w:fill="DEEAF6" w:themeFill="accent1" w:themeFillTint="33"/>
        <w:spacing w:after="240" w:line="276" w:lineRule="auto"/>
        <w:ind w:firstLine="567"/>
        <w:jc w:val="both"/>
        <w:rPr>
          <w:rFonts w:ascii="Times New Roman" w:hAnsi="Times New Roman" w:cs="Times New Roman"/>
          <w:b/>
          <w:bCs/>
          <w:sz w:val="24"/>
          <w:szCs w:val="24"/>
        </w:rPr>
      </w:pPr>
      <w:r w:rsidRPr="00AB5E5C">
        <w:rPr>
          <w:rFonts w:ascii="Times New Roman" w:hAnsi="Times New Roman" w:cs="Times New Roman"/>
          <w:b/>
          <w:bCs/>
          <w:sz w:val="24"/>
          <w:szCs w:val="24"/>
        </w:rPr>
        <w:t>V</w:t>
      </w:r>
      <w:r w:rsidR="006E73F1" w:rsidRPr="00AB5E5C">
        <w:rPr>
          <w:rFonts w:ascii="Times New Roman" w:hAnsi="Times New Roman" w:cs="Times New Roman"/>
          <w:b/>
          <w:bCs/>
          <w:sz w:val="24"/>
          <w:szCs w:val="24"/>
        </w:rPr>
        <w:t>-01-001-</w:t>
      </w:r>
      <w:r w:rsidRPr="00AB5E5C">
        <w:rPr>
          <w:rFonts w:ascii="Times New Roman" w:hAnsi="Times New Roman" w:cs="Times New Roman"/>
          <w:b/>
          <w:bCs/>
          <w:sz w:val="24"/>
          <w:szCs w:val="24"/>
        </w:rPr>
        <w:t>12</w:t>
      </w:r>
      <w:r w:rsidR="006E73F1" w:rsidRPr="00AB5E5C">
        <w:rPr>
          <w:rFonts w:ascii="Times New Roman" w:hAnsi="Times New Roman" w:cs="Times New Roman"/>
          <w:b/>
          <w:bCs/>
          <w:sz w:val="24"/>
          <w:szCs w:val="24"/>
        </w:rPr>
        <w:t>-</w:t>
      </w:r>
      <w:r w:rsidRPr="00AB5E5C">
        <w:rPr>
          <w:rFonts w:ascii="Times New Roman" w:hAnsi="Times New Roman" w:cs="Times New Roman"/>
          <w:b/>
          <w:bCs/>
          <w:sz w:val="24"/>
          <w:szCs w:val="24"/>
        </w:rPr>
        <w:t>01-01-</w:t>
      </w:r>
      <w:r w:rsidR="00A37011" w:rsidRPr="00AB5E5C">
        <w:rPr>
          <w:rFonts w:ascii="Times New Roman" w:hAnsi="Times New Roman" w:cs="Times New Roman"/>
          <w:b/>
          <w:bCs/>
          <w:sz w:val="24"/>
          <w:szCs w:val="24"/>
        </w:rPr>
        <w:t xml:space="preserve">03 </w:t>
      </w:r>
      <w:r w:rsidR="006E73F1" w:rsidRPr="00AB5E5C">
        <w:rPr>
          <w:rFonts w:ascii="Times New Roman" w:hAnsi="Times New Roman" w:cs="Times New Roman"/>
          <w:b/>
          <w:bCs/>
          <w:sz w:val="24"/>
          <w:szCs w:val="24"/>
        </w:rPr>
        <w:t xml:space="preserve">Centralizuotai administruojamo valstybės nekilnojamojo turto administracinės paskirties patalpų, naudojamų įstaigų veiklai vykdyti, bendros išlaikymo sąnaudos, ne daugiau kaip, Eur / </w:t>
      </w:r>
      <w:proofErr w:type="spellStart"/>
      <w:r w:rsidR="006E73F1" w:rsidRPr="00AB5E5C">
        <w:rPr>
          <w:rFonts w:ascii="Times New Roman" w:hAnsi="Times New Roman" w:cs="Times New Roman"/>
          <w:b/>
          <w:bCs/>
          <w:sz w:val="24"/>
          <w:szCs w:val="24"/>
        </w:rPr>
        <w:t>kv.m</w:t>
      </w:r>
      <w:proofErr w:type="spellEnd"/>
      <w:r w:rsidR="006E73F1" w:rsidRPr="00AB5E5C">
        <w:rPr>
          <w:rFonts w:ascii="Times New Roman" w:hAnsi="Times New Roman" w:cs="Times New Roman"/>
          <w:b/>
          <w:bCs/>
          <w:sz w:val="24"/>
          <w:szCs w:val="24"/>
        </w:rPr>
        <w:t>. (eurai)</w:t>
      </w:r>
    </w:p>
    <w:tbl>
      <w:tblPr>
        <w:tblStyle w:val="Lentelstinklelis"/>
        <w:tblW w:w="9634" w:type="dxa"/>
        <w:tblLook w:val="04A0" w:firstRow="1" w:lastRow="0" w:firstColumn="1" w:lastColumn="0" w:noHBand="0" w:noVBand="1"/>
      </w:tblPr>
      <w:tblGrid>
        <w:gridCol w:w="1323"/>
        <w:gridCol w:w="2675"/>
        <w:gridCol w:w="1435"/>
        <w:gridCol w:w="1435"/>
        <w:gridCol w:w="2766"/>
      </w:tblGrid>
      <w:tr w:rsidR="006E73F1" w:rsidRPr="008128BA" w14:paraId="15E9E6EF" w14:textId="77777777" w:rsidTr="00E5438E">
        <w:trPr>
          <w:trHeight w:val="1109"/>
        </w:trPr>
        <w:tc>
          <w:tcPr>
            <w:tcW w:w="1310" w:type="dxa"/>
            <w:tcBorders>
              <w:bottom w:val="single" w:sz="4" w:space="0" w:color="auto"/>
            </w:tcBorders>
            <w:shd w:val="clear" w:color="auto" w:fill="BFBFBF" w:themeFill="background1" w:themeFillShade="BF"/>
            <w:vAlign w:val="center"/>
            <w:hideMark/>
          </w:tcPr>
          <w:p w14:paraId="4BD32199" w14:textId="4B3BFFF3" w:rsidR="006E73F1" w:rsidRPr="00E5438E" w:rsidRDefault="007B2EEA" w:rsidP="00E5438E">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Stebės</w:t>
            </w:r>
            <w:r w:rsidR="0847DC49" w:rsidRPr="00E5438E">
              <w:rPr>
                <w:rFonts w:ascii="Times New Roman" w:hAnsi="Times New Roman" w:cs="Times New Roman"/>
                <w:b/>
                <w:bCs/>
                <w:sz w:val="24"/>
                <w:szCs w:val="24"/>
              </w:rPr>
              <w:t>e</w:t>
            </w:r>
            <w:r w:rsidRPr="00E5438E">
              <w:rPr>
                <w:rFonts w:ascii="Times New Roman" w:hAnsi="Times New Roman" w:cs="Times New Roman"/>
                <w:b/>
                <w:bCs/>
                <w:sz w:val="24"/>
                <w:szCs w:val="24"/>
              </w:rPr>
              <w:t xml:space="preserve">nos rodiklio </w:t>
            </w:r>
            <w:r w:rsidR="006E73F1" w:rsidRPr="00E5438E">
              <w:rPr>
                <w:rFonts w:ascii="Times New Roman" w:hAnsi="Times New Roman" w:cs="Times New Roman"/>
                <w:b/>
                <w:bCs/>
                <w:sz w:val="24"/>
                <w:szCs w:val="24"/>
              </w:rPr>
              <w:t>kodas</w:t>
            </w:r>
          </w:p>
        </w:tc>
        <w:tc>
          <w:tcPr>
            <w:tcW w:w="2682" w:type="dxa"/>
            <w:tcBorders>
              <w:bottom w:val="single" w:sz="4" w:space="0" w:color="auto"/>
            </w:tcBorders>
            <w:shd w:val="clear" w:color="auto" w:fill="BFBFBF" w:themeFill="background1" w:themeFillShade="BF"/>
            <w:vAlign w:val="center"/>
            <w:hideMark/>
          </w:tcPr>
          <w:p w14:paraId="7DBCCD69" w14:textId="7011C227" w:rsidR="006E73F1" w:rsidRPr="00E5438E" w:rsidRDefault="007B2EEA" w:rsidP="00E5438E">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Stebėsenos rodiklio</w:t>
            </w:r>
            <w:r w:rsidR="006E73F1" w:rsidRPr="00E5438E">
              <w:rPr>
                <w:rFonts w:ascii="Times New Roman" w:hAnsi="Times New Roman" w:cs="Times New Roman"/>
                <w:b/>
                <w:bCs/>
                <w:sz w:val="24"/>
                <w:szCs w:val="24"/>
              </w:rPr>
              <w:t xml:space="preserve"> pavadinimas, mat</w:t>
            </w:r>
            <w:r w:rsidRPr="00E5438E">
              <w:rPr>
                <w:rFonts w:ascii="Times New Roman" w:hAnsi="Times New Roman" w:cs="Times New Roman"/>
                <w:b/>
                <w:bCs/>
                <w:sz w:val="24"/>
                <w:szCs w:val="24"/>
              </w:rPr>
              <w:t xml:space="preserve">avimo </w:t>
            </w:r>
            <w:r w:rsidR="006E73F1" w:rsidRPr="00E5438E">
              <w:rPr>
                <w:rFonts w:ascii="Times New Roman" w:hAnsi="Times New Roman" w:cs="Times New Roman"/>
                <w:b/>
                <w:bCs/>
                <w:sz w:val="24"/>
                <w:szCs w:val="24"/>
              </w:rPr>
              <w:t xml:space="preserve"> vienetai</w:t>
            </w:r>
          </w:p>
        </w:tc>
        <w:tc>
          <w:tcPr>
            <w:tcW w:w="1438" w:type="dxa"/>
            <w:vMerge w:val="restart"/>
            <w:tcBorders>
              <w:bottom w:val="single" w:sz="4" w:space="0" w:color="auto"/>
            </w:tcBorders>
            <w:shd w:val="clear" w:color="auto" w:fill="BFBFBF" w:themeFill="background1" w:themeFillShade="BF"/>
            <w:vAlign w:val="center"/>
            <w:hideMark/>
          </w:tcPr>
          <w:p w14:paraId="4F212563" w14:textId="4CA14298" w:rsidR="006E73F1" w:rsidRPr="00E5438E" w:rsidRDefault="003F0884" w:rsidP="00E5438E">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 xml:space="preserve">2025 </w:t>
            </w:r>
            <w:r w:rsidR="1D8EA191" w:rsidRPr="00E5438E">
              <w:rPr>
                <w:rFonts w:ascii="Times New Roman" w:hAnsi="Times New Roman" w:cs="Times New Roman"/>
                <w:b/>
                <w:bCs/>
                <w:sz w:val="24"/>
                <w:szCs w:val="24"/>
              </w:rPr>
              <w:t>m. planinė reikšmė</w:t>
            </w:r>
          </w:p>
        </w:tc>
        <w:tc>
          <w:tcPr>
            <w:tcW w:w="1438" w:type="dxa"/>
            <w:vMerge w:val="restart"/>
            <w:tcBorders>
              <w:bottom w:val="single" w:sz="4" w:space="0" w:color="auto"/>
            </w:tcBorders>
            <w:shd w:val="clear" w:color="auto" w:fill="BFBFBF" w:themeFill="background1" w:themeFillShade="BF"/>
            <w:vAlign w:val="center"/>
            <w:hideMark/>
          </w:tcPr>
          <w:p w14:paraId="45A424B3" w14:textId="39C9E2C4" w:rsidR="006E73F1" w:rsidRPr="00E5438E" w:rsidRDefault="003F0884" w:rsidP="00E5438E">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2025 m</w:t>
            </w:r>
            <w:r w:rsidR="30DF7046" w:rsidRPr="00E5438E">
              <w:rPr>
                <w:rFonts w:ascii="Times New Roman" w:hAnsi="Times New Roman" w:cs="Times New Roman"/>
                <w:b/>
                <w:bCs/>
                <w:sz w:val="24"/>
                <w:szCs w:val="24"/>
              </w:rPr>
              <w:t>. faktinė reikšmė</w:t>
            </w:r>
          </w:p>
        </w:tc>
        <w:tc>
          <w:tcPr>
            <w:tcW w:w="2766" w:type="dxa"/>
            <w:vMerge w:val="restart"/>
            <w:tcBorders>
              <w:bottom w:val="single" w:sz="4" w:space="0" w:color="auto"/>
            </w:tcBorders>
            <w:shd w:val="clear" w:color="auto" w:fill="BFBFBF" w:themeFill="background1" w:themeFillShade="BF"/>
            <w:noWrap/>
            <w:vAlign w:val="center"/>
            <w:hideMark/>
          </w:tcPr>
          <w:p w14:paraId="4520C9C8" w14:textId="7452378B" w:rsidR="006E73F1" w:rsidRPr="00E5438E" w:rsidRDefault="006E73F1" w:rsidP="00E5438E">
            <w:pPr>
              <w:pStyle w:val="Betarp"/>
              <w:jc w:val="center"/>
              <w:rPr>
                <w:rFonts w:ascii="Times New Roman" w:hAnsi="Times New Roman" w:cs="Times New Roman"/>
                <w:sz w:val="24"/>
                <w:szCs w:val="24"/>
              </w:rPr>
            </w:pPr>
            <w:r w:rsidRPr="00E5438E">
              <w:rPr>
                <w:rFonts w:ascii="Times New Roman" w:hAnsi="Times New Roman" w:cs="Times New Roman"/>
                <w:b/>
                <w:bCs/>
                <w:sz w:val="24"/>
                <w:szCs w:val="24"/>
              </w:rPr>
              <w:t>Įvykdymo procentas</w:t>
            </w:r>
          </w:p>
        </w:tc>
      </w:tr>
      <w:tr w:rsidR="006E73F1" w:rsidRPr="008128BA" w14:paraId="026DE378" w14:textId="77777777" w:rsidTr="070233B9">
        <w:trPr>
          <w:trHeight w:val="780"/>
        </w:trPr>
        <w:tc>
          <w:tcPr>
            <w:tcW w:w="1310" w:type="dxa"/>
            <w:shd w:val="clear" w:color="auto" w:fill="D9D9D9" w:themeFill="background1" w:themeFillShade="D9"/>
            <w:hideMark/>
          </w:tcPr>
          <w:p w14:paraId="494D1A2B" w14:textId="1129C68F" w:rsidR="006E73F1" w:rsidRPr="008128BA" w:rsidRDefault="006E73F1" w:rsidP="002C24AF">
            <w:pPr>
              <w:pStyle w:val="Betarp"/>
              <w:jc w:val="both"/>
              <w:rPr>
                <w:rFonts w:ascii="Times New Roman" w:hAnsi="Times New Roman" w:cs="Times New Roman"/>
                <w:b/>
                <w:bCs/>
                <w:sz w:val="22"/>
                <w:szCs w:val="22"/>
              </w:rPr>
            </w:pPr>
          </w:p>
        </w:tc>
        <w:tc>
          <w:tcPr>
            <w:tcW w:w="2682" w:type="dxa"/>
            <w:shd w:val="clear" w:color="auto" w:fill="D9D9D9" w:themeFill="background1" w:themeFillShade="D9"/>
            <w:hideMark/>
          </w:tcPr>
          <w:p w14:paraId="2DF1B811" w14:textId="0AB3278E" w:rsidR="006E73F1" w:rsidRPr="008128BA" w:rsidRDefault="006E73F1" w:rsidP="002C24AF">
            <w:pPr>
              <w:pStyle w:val="Betarp"/>
              <w:jc w:val="both"/>
              <w:rPr>
                <w:rFonts w:ascii="Times New Roman" w:hAnsi="Times New Roman" w:cs="Times New Roman"/>
                <w:b/>
                <w:bCs/>
                <w:sz w:val="22"/>
                <w:szCs w:val="22"/>
              </w:rPr>
            </w:pPr>
          </w:p>
        </w:tc>
        <w:tc>
          <w:tcPr>
            <w:tcW w:w="1438" w:type="dxa"/>
            <w:vMerge/>
            <w:hideMark/>
          </w:tcPr>
          <w:p w14:paraId="2D2F32DA" w14:textId="77777777" w:rsidR="006E73F1" w:rsidRPr="008128BA" w:rsidRDefault="006E73F1" w:rsidP="002C24AF">
            <w:pPr>
              <w:pStyle w:val="Betarp"/>
              <w:jc w:val="both"/>
              <w:rPr>
                <w:rFonts w:ascii="Times New Roman" w:hAnsi="Times New Roman" w:cs="Times New Roman"/>
                <w:b/>
                <w:bCs/>
                <w:sz w:val="22"/>
                <w:szCs w:val="22"/>
              </w:rPr>
            </w:pPr>
          </w:p>
        </w:tc>
        <w:tc>
          <w:tcPr>
            <w:tcW w:w="1438" w:type="dxa"/>
            <w:vMerge/>
            <w:hideMark/>
          </w:tcPr>
          <w:p w14:paraId="06BEA466" w14:textId="77777777" w:rsidR="006E73F1" w:rsidRPr="008128BA" w:rsidRDefault="006E73F1" w:rsidP="002C24AF">
            <w:pPr>
              <w:pStyle w:val="Betarp"/>
              <w:jc w:val="both"/>
              <w:rPr>
                <w:rFonts w:ascii="Times New Roman" w:hAnsi="Times New Roman" w:cs="Times New Roman"/>
                <w:b/>
                <w:bCs/>
                <w:sz w:val="22"/>
                <w:szCs w:val="22"/>
              </w:rPr>
            </w:pPr>
          </w:p>
        </w:tc>
        <w:tc>
          <w:tcPr>
            <w:tcW w:w="2766" w:type="dxa"/>
            <w:vMerge/>
            <w:hideMark/>
          </w:tcPr>
          <w:p w14:paraId="5AB5904E" w14:textId="77777777" w:rsidR="006E73F1" w:rsidRPr="008128BA" w:rsidRDefault="006E73F1" w:rsidP="002C24AF">
            <w:pPr>
              <w:pStyle w:val="Betarp"/>
              <w:jc w:val="both"/>
              <w:rPr>
                <w:rFonts w:ascii="Times New Roman" w:hAnsi="Times New Roman" w:cs="Times New Roman"/>
                <w:b/>
                <w:bCs/>
                <w:sz w:val="22"/>
                <w:szCs w:val="22"/>
              </w:rPr>
            </w:pPr>
          </w:p>
        </w:tc>
      </w:tr>
      <w:tr w:rsidR="006E73F1" w:rsidRPr="008128BA" w14:paraId="600A91EE" w14:textId="77777777" w:rsidTr="070233B9">
        <w:trPr>
          <w:trHeight w:val="778"/>
        </w:trPr>
        <w:tc>
          <w:tcPr>
            <w:tcW w:w="1310" w:type="dxa"/>
            <w:hideMark/>
          </w:tcPr>
          <w:p w14:paraId="4CBC31FC" w14:textId="46B35340" w:rsidR="006E73F1" w:rsidRPr="00AB5E5C" w:rsidRDefault="000331C3" w:rsidP="000331C3">
            <w:pPr>
              <w:pStyle w:val="Betarp"/>
              <w:jc w:val="both"/>
              <w:rPr>
                <w:rFonts w:ascii="Times New Roman" w:hAnsi="Times New Roman" w:cs="Times New Roman"/>
                <w:sz w:val="24"/>
                <w:szCs w:val="24"/>
              </w:rPr>
            </w:pPr>
            <w:r w:rsidRPr="00AB5E5C">
              <w:rPr>
                <w:rFonts w:ascii="Times New Roman" w:hAnsi="Times New Roman" w:cs="Times New Roman"/>
                <w:sz w:val="24"/>
                <w:szCs w:val="24"/>
              </w:rPr>
              <w:t>V</w:t>
            </w:r>
            <w:r w:rsidR="006E73F1" w:rsidRPr="00AB5E5C">
              <w:rPr>
                <w:rFonts w:ascii="Times New Roman" w:hAnsi="Times New Roman" w:cs="Times New Roman"/>
                <w:sz w:val="24"/>
                <w:szCs w:val="24"/>
              </w:rPr>
              <w:t>-01-001-</w:t>
            </w:r>
            <w:r w:rsidRPr="00AB5E5C">
              <w:rPr>
                <w:rFonts w:ascii="Times New Roman" w:hAnsi="Times New Roman" w:cs="Times New Roman"/>
                <w:sz w:val="24"/>
                <w:szCs w:val="24"/>
              </w:rPr>
              <w:t>12</w:t>
            </w:r>
            <w:r w:rsidR="006E73F1" w:rsidRPr="00AB5E5C">
              <w:rPr>
                <w:rFonts w:ascii="Times New Roman" w:hAnsi="Times New Roman" w:cs="Times New Roman"/>
                <w:sz w:val="24"/>
                <w:szCs w:val="24"/>
              </w:rPr>
              <w:t>-01-01</w:t>
            </w:r>
            <w:r w:rsidRPr="00AB5E5C">
              <w:rPr>
                <w:rFonts w:ascii="Times New Roman" w:hAnsi="Times New Roman" w:cs="Times New Roman"/>
                <w:sz w:val="24"/>
                <w:szCs w:val="24"/>
              </w:rPr>
              <w:t>-03</w:t>
            </w:r>
          </w:p>
        </w:tc>
        <w:tc>
          <w:tcPr>
            <w:tcW w:w="2682" w:type="dxa"/>
            <w:hideMark/>
          </w:tcPr>
          <w:p w14:paraId="6AD65DA6" w14:textId="77777777" w:rsidR="006E73F1" w:rsidRPr="00AB5E5C" w:rsidRDefault="006E73F1" w:rsidP="002C24AF">
            <w:pPr>
              <w:pStyle w:val="Betarp"/>
              <w:jc w:val="both"/>
              <w:rPr>
                <w:rFonts w:ascii="Times New Roman" w:hAnsi="Times New Roman" w:cs="Times New Roman"/>
                <w:sz w:val="24"/>
                <w:szCs w:val="24"/>
              </w:rPr>
            </w:pPr>
            <w:r w:rsidRPr="00AB5E5C">
              <w:rPr>
                <w:rFonts w:ascii="Times New Roman" w:hAnsi="Times New Roman" w:cs="Times New Roman"/>
                <w:sz w:val="24"/>
                <w:szCs w:val="24"/>
              </w:rPr>
              <w:t>Centralizuotai administruojamo valstybės nekilnojamojo turto administracinės paskirties patalpų, naudojamų įstaigų veiklai vykdyti, bendros išlaikymo sąnaudos, ne daugiau kaip, Eur / kv. m. (eurai)</w:t>
            </w:r>
          </w:p>
        </w:tc>
        <w:tc>
          <w:tcPr>
            <w:tcW w:w="1438" w:type="dxa"/>
            <w:hideMark/>
          </w:tcPr>
          <w:p w14:paraId="07CBC70C" w14:textId="77777777" w:rsidR="008C19D1" w:rsidRPr="00AB5E5C" w:rsidRDefault="008C19D1">
            <w:pPr>
              <w:pStyle w:val="Betarp"/>
              <w:jc w:val="center"/>
              <w:rPr>
                <w:rFonts w:ascii="Times New Roman" w:hAnsi="Times New Roman" w:cs="Times New Roman"/>
                <w:sz w:val="24"/>
                <w:szCs w:val="24"/>
              </w:rPr>
            </w:pPr>
          </w:p>
          <w:p w14:paraId="3CD396A0" w14:textId="2F5C6CEF" w:rsidR="006E73F1" w:rsidRPr="00AB5E5C" w:rsidRDefault="5CD263F6">
            <w:pPr>
              <w:pStyle w:val="Betarp"/>
              <w:jc w:val="center"/>
              <w:rPr>
                <w:rFonts w:ascii="Times New Roman" w:eastAsia="Times New Roman" w:hAnsi="Times New Roman" w:cs="Times New Roman"/>
                <w:sz w:val="24"/>
                <w:szCs w:val="24"/>
              </w:rPr>
            </w:pPr>
            <w:r w:rsidRPr="00AB5E5C">
              <w:rPr>
                <w:rFonts w:ascii="Times New Roman" w:hAnsi="Times New Roman" w:cs="Times New Roman"/>
                <w:sz w:val="24"/>
                <w:szCs w:val="24"/>
              </w:rPr>
              <w:t>36</w:t>
            </w:r>
          </w:p>
        </w:tc>
        <w:tc>
          <w:tcPr>
            <w:tcW w:w="1438" w:type="dxa"/>
            <w:hideMark/>
          </w:tcPr>
          <w:p w14:paraId="6E714F07" w14:textId="767A7317" w:rsidR="006E73F1" w:rsidRPr="00AB5E5C" w:rsidRDefault="006E73F1">
            <w:pPr>
              <w:pStyle w:val="Betarp"/>
              <w:jc w:val="center"/>
              <w:rPr>
                <w:rFonts w:ascii="Times New Roman" w:hAnsi="Times New Roman" w:cs="Times New Roman"/>
                <w:sz w:val="24"/>
                <w:szCs w:val="24"/>
              </w:rPr>
            </w:pPr>
          </w:p>
          <w:p w14:paraId="1C465291" w14:textId="14F7E0AB" w:rsidR="006E73F1" w:rsidRPr="00AB5E5C" w:rsidRDefault="3362DE50" w:rsidP="070233B9">
            <w:pPr>
              <w:pStyle w:val="Betarp"/>
              <w:jc w:val="center"/>
              <w:rPr>
                <w:rFonts w:ascii="Times New Roman" w:eastAsia="Times New Roman" w:hAnsi="Times New Roman" w:cs="Times New Roman"/>
                <w:sz w:val="24"/>
                <w:szCs w:val="24"/>
              </w:rPr>
            </w:pPr>
            <w:r w:rsidRPr="00AB5E5C">
              <w:rPr>
                <w:rFonts w:ascii="Times New Roman" w:eastAsia="Times New Roman" w:hAnsi="Times New Roman" w:cs="Times New Roman"/>
                <w:sz w:val="24"/>
                <w:szCs w:val="24"/>
              </w:rPr>
              <w:t>48</w:t>
            </w:r>
            <w:r w:rsidR="00EC68D6" w:rsidRPr="00AB5E5C">
              <w:rPr>
                <w:rFonts w:ascii="Times New Roman" w:eastAsia="Times New Roman" w:hAnsi="Times New Roman" w:cs="Times New Roman"/>
                <w:sz w:val="24"/>
                <w:szCs w:val="24"/>
              </w:rPr>
              <w:t>,</w:t>
            </w:r>
            <w:r w:rsidRPr="00AB5E5C">
              <w:rPr>
                <w:rFonts w:ascii="Times New Roman" w:eastAsia="Times New Roman" w:hAnsi="Times New Roman" w:cs="Times New Roman"/>
                <w:sz w:val="24"/>
                <w:szCs w:val="24"/>
              </w:rPr>
              <w:t>51</w:t>
            </w:r>
          </w:p>
        </w:tc>
        <w:tc>
          <w:tcPr>
            <w:tcW w:w="2766" w:type="dxa"/>
            <w:hideMark/>
          </w:tcPr>
          <w:p w14:paraId="0446CD8A" w14:textId="77777777" w:rsidR="008C19D1" w:rsidRPr="00AB5E5C" w:rsidRDefault="008C19D1" w:rsidP="070233B9">
            <w:pPr>
              <w:pStyle w:val="Betarp"/>
              <w:jc w:val="center"/>
              <w:rPr>
                <w:rFonts w:ascii="Times New Roman" w:eastAsia="Times New Roman" w:hAnsi="Times New Roman" w:cs="Times New Roman"/>
                <w:sz w:val="24"/>
                <w:szCs w:val="24"/>
              </w:rPr>
            </w:pPr>
          </w:p>
          <w:p w14:paraId="50DA415E" w14:textId="42B39FF9" w:rsidR="006E73F1" w:rsidRPr="00AB5E5C" w:rsidRDefault="3362DE50" w:rsidP="070233B9">
            <w:pPr>
              <w:pStyle w:val="Betarp"/>
              <w:jc w:val="center"/>
              <w:rPr>
                <w:rFonts w:ascii="Times New Roman" w:hAnsi="Times New Roman" w:cs="Times New Roman"/>
                <w:sz w:val="24"/>
                <w:szCs w:val="24"/>
              </w:rPr>
            </w:pPr>
            <w:r w:rsidRPr="00AB5E5C">
              <w:rPr>
                <w:rFonts w:ascii="Times New Roman" w:hAnsi="Times New Roman" w:cs="Times New Roman"/>
                <w:sz w:val="24"/>
                <w:szCs w:val="24"/>
              </w:rPr>
              <w:t>74</w:t>
            </w:r>
            <w:r w:rsidR="00EC68D6" w:rsidRPr="00AB5E5C">
              <w:rPr>
                <w:rFonts w:ascii="Times New Roman" w:hAnsi="Times New Roman" w:cs="Times New Roman"/>
                <w:sz w:val="24"/>
                <w:szCs w:val="24"/>
              </w:rPr>
              <w:t>,</w:t>
            </w:r>
            <w:r w:rsidRPr="00AB5E5C">
              <w:rPr>
                <w:rFonts w:ascii="Times New Roman" w:hAnsi="Times New Roman" w:cs="Times New Roman"/>
                <w:sz w:val="24"/>
                <w:szCs w:val="24"/>
              </w:rPr>
              <w:t>23</w:t>
            </w:r>
          </w:p>
        </w:tc>
      </w:tr>
    </w:tbl>
    <w:p w14:paraId="181E554E" w14:textId="44902FED" w:rsidR="006E73F1" w:rsidRPr="00AB5E5C" w:rsidRDefault="007B2EEA" w:rsidP="00852DA4">
      <w:pPr>
        <w:shd w:val="clear" w:color="auto" w:fill="BFBFBF" w:themeFill="background1" w:themeFillShade="BF"/>
        <w:spacing w:line="259" w:lineRule="auto"/>
        <w:jc w:val="both"/>
        <w:rPr>
          <w:rFonts w:ascii="Times New Roman" w:hAnsi="Times New Roman" w:cs="Times New Roman"/>
          <w:sz w:val="24"/>
          <w:szCs w:val="24"/>
        </w:rPr>
      </w:pPr>
      <w:r w:rsidRPr="00AB5E5C">
        <w:rPr>
          <w:rFonts w:ascii="Times New Roman" w:hAnsi="Times New Roman" w:cs="Times New Roman"/>
          <w:b/>
          <w:bCs/>
          <w:sz w:val="24"/>
          <w:szCs w:val="24"/>
          <w:shd w:val="clear" w:color="auto" w:fill="D9D9D9" w:themeFill="background1" w:themeFillShade="D9"/>
        </w:rPr>
        <w:t>Stebėsenos rodiklio plan</w:t>
      </w:r>
      <w:r w:rsidR="008F5A8C">
        <w:rPr>
          <w:rFonts w:ascii="Times New Roman" w:hAnsi="Times New Roman" w:cs="Times New Roman"/>
          <w:b/>
          <w:bCs/>
          <w:sz w:val="24"/>
          <w:szCs w:val="24"/>
          <w:shd w:val="clear" w:color="auto" w:fill="D9D9D9" w:themeFill="background1" w:themeFillShade="D9"/>
        </w:rPr>
        <w:t xml:space="preserve">inė </w:t>
      </w:r>
      <w:r w:rsidRPr="00AB5E5C">
        <w:rPr>
          <w:rFonts w:ascii="Times New Roman" w:hAnsi="Times New Roman" w:cs="Times New Roman"/>
          <w:b/>
          <w:bCs/>
          <w:sz w:val="24"/>
          <w:szCs w:val="24"/>
          <w:shd w:val="clear" w:color="auto" w:fill="D9D9D9" w:themeFill="background1" w:themeFillShade="D9"/>
        </w:rPr>
        <w:t xml:space="preserve">reikšmė nepasiekta dėl stipriai išaugusių </w:t>
      </w:r>
      <w:r w:rsidR="006E73F1" w:rsidRPr="00AB5E5C">
        <w:rPr>
          <w:rFonts w:ascii="Times New Roman" w:hAnsi="Times New Roman" w:cs="Times New Roman"/>
          <w:b/>
          <w:bCs/>
          <w:sz w:val="24"/>
          <w:szCs w:val="24"/>
          <w:shd w:val="clear" w:color="auto" w:fill="D9D9D9" w:themeFill="background1" w:themeFillShade="D9"/>
        </w:rPr>
        <w:t>komunalin</w:t>
      </w:r>
      <w:r w:rsidRPr="00AB5E5C">
        <w:rPr>
          <w:rFonts w:ascii="Times New Roman" w:hAnsi="Times New Roman" w:cs="Times New Roman"/>
          <w:b/>
          <w:bCs/>
          <w:sz w:val="24"/>
          <w:szCs w:val="24"/>
          <w:shd w:val="clear" w:color="auto" w:fill="D9D9D9" w:themeFill="background1" w:themeFillShade="D9"/>
        </w:rPr>
        <w:t>ių</w:t>
      </w:r>
      <w:r w:rsidR="006E73F1" w:rsidRPr="00AB5E5C">
        <w:rPr>
          <w:rFonts w:ascii="Times New Roman" w:hAnsi="Times New Roman" w:cs="Times New Roman"/>
          <w:b/>
          <w:bCs/>
          <w:sz w:val="24"/>
          <w:szCs w:val="24"/>
          <w:shd w:val="clear" w:color="auto" w:fill="D9D9D9" w:themeFill="background1" w:themeFillShade="D9"/>
        </w:rPr>
        <w:t xml:space="preserve"> išlaid</w:t>
      </w:r>
      <w:r w:rsidRPr="00AB5E5C">
        <w:rPr>
          <w:rFonts w:ascii="Times New Roman" w:hAnsi="Times New Roman" w:cs="Times New Roman"/>
          <w:b/>
          <w:bCs/>
          <w:sz w:val="24"/>
          <w:szCs w:val="24"/>
          <w:shd w:val="clear" w:color="auto" w:fill="D9D9D9" w:themeFill="background1" w:themeFillShade="D9"/>
        </w:rPr>
        <w:t>ų</w:t>
      </w:r>
      <w:r w:rsidR="006E73F1" w:rsidRPr="00AB5E5C">
        <w:rPr>
          <w:rFonts w:ascii="Times New Roman" w:hAnsi="Times New Roman" w:cs="Times New Roman"/>
          <w:b/>
          <w:bCs/>
          <w:sz w:val="24"/>
          <w:szCs w:val="24"/>
          <w:shd w:val="clear" w:color="auto" w:fill="D9D9D9" w:themeFill="background1" w:themeFillShade="D9"/>
        </w:rPr>
        <w:t xml:space="preserve">. Siektina </w:t>
      </w:r>
      <w:r w:rsidRPr="00AB5E5C">
        <w:rPr>
          <w:rFonts w:ascii="Times New Roman" w:hAnsi="Times New Roman" w:cs="Times New Roman"/>
          <w:b/>
          <w:bCs/>
          <w:sz w:val="24"/>
          <w:szCs w:val="24"/>
          <w:shd w:val="clear" w:color="auto" w:fill="D9D9D9" w:themeFill="background1" w:themeFillShade="D9"/>
        </w:rPr>
        <w:t xml:space="preserve">rodiklio </w:t>
      </w:r>
      <w:r w:rsidR="006E73F1" w:rsidRPr="00AB5E5C">
        <w:rPr>
          <w:rFonts w:ascii="Times New Roman" w:hAnsi="Times New Roman" w:cs="Times New Roman"/>
          <w:b/>
          <w:bCs/>
          <w:sz w:val="24"/>
          <w:szCs w:val="24"/>
          <w:shd w:val="clear" w:color="auto" w:fill="D9D9D9" w:themeFill="background1" w:themeFillShade="D9"/>
        </w:rPr>
        <w:t xml:space="preserve">reikšmė patvirtinta Lietuvos Respublikos finansų ministro 2017-02-23 įsakymu Nr. 1K-65. </w:t>
      </w:r>
    </w:p>
    <w:p w14:paraId="139EDFA5" w14:textId="09FFD86C" w:rsidR="006E73F1" w:rsidRDefault="006E73F1" w:rsidP="092ADAC3">
      <w:pPr>
        <w:widowControl w:val="0"/>
        <w:spacing w:line="240" w:lineRule="auto"/>
        <w:ind w:firstLine="851"/>
        <w:rPr>
          <w:rFonts w:ascii="Times New Roman" w:eastAsiaTheme="minorEastAsia" w:hAnsi="Times New Roman" w:cs="Times New Roman"/>
          <w:b/>
          <w:bCs/>
        </w:rPr>
      </w:pPr>
    </w:p>
    <w:p w14:paraId="371E5145" w14:textId="21209A16" w:rsidR="00C340B6" w:rsidRDefault="00C340B6" w:rsidP="092ADAC3">
      <w:pPr>
        <w:widowControl w:val="0"/>
        <w:spacing w:line="240" w:lineRule="auto"/>
        <w:ind w:firstLine="851"/>
        <w:rPr>
          <w:rFonts w:ascii="Times New Roman" w:eastAsiaTheme="minorEastAsia" w:hAnsi="Times New Roman" w:cs="Times New Roman"/>
          <w:b/>
          <w:bCs/>
        </w:rPr>
      </w:pPr>
    </w:p>
    <w:p w14:paraId="553196F0" w14:textId="77777777" w:rsidR="00C340B6" w:rsidRDefault="00C340B6" w:rsidP="092ADAC3">
      <w:pPr>
        <w:widowControl w:val="0"/>
        <w:spacing w:line="240" w:lineRule="auto"/>
        <w:ind w:firstLine="851"/>
        <w:rPr>
          <w:rFonts w:ascii="Times New Roman" w:eastAsiaTheme="minorEastAsia" w:hAnsi="Times New Roman" w:cs="Times New Roman"/>
          <w:b/>
          <w:bCs/>
        </w:rPr>
      </w:pPr>
    </w:p>
    <w:tbl>
      <w:tblPr>
        <w:tblStyle w:val="Lentelstinklelis"/>
        <w:tblW w:w="9634" w:type="dxa"/>
        <w:tblLook w:val="04A0" w:firstRow="1" w:lastRow="0" w:firstColumn="1" w:lastColumn="0" w:noHBand="0" w:noVBand="1"/>
      </w:tblPr>
      <w:tblGrid>
        <w:gridCol w:w="9634"/>
      </w:tblGrid>
      <w:tr w:rsidR="0029430F" w14:paraId="5A5A2DD5" w14:textId="77777777" w:rsidTr="00E51C11">
        <w:tc>
          <w:tcPr>
            <w:tcW w:w="9634" w:type="dxa"/>
            <w:tcBorders>
              <w:top w:val="nil"/>
              <w:left w:val="nil"/>
              <w:bottom w:val="nil"/>
              <w:right w:val="nil"/>
            </w:tcBorders>
            <w:shd w:val="clear" w:color="auto" w:fill="DEEAF6" w:themeFill="accent1" w:themeFillTint="33"/>
          </w:tcPr>
          <w:p w14:paraId="29E53CCC" w14:textId="3CEDEDC2" w:rsidR="0029430F" w:rsidRPr="00886BB7" w:rsidRDefault="0029430F" w:rsidP="0008775A">
            <w:pPr>
              <w:ind w:firstLine="601"/>
              <w:jc w:val="both"/>
              <w:rPr>
                <w:rFonts w:ascii="Times New Roman" w:hAnsi="Times New Roman" w:cs="Times New Roman"/>
                <w:b/>
                <w:bCs/>
                <w:sz w:val="24"/>
                <w:szCs w:val="24"/>
              </w:rPr>
            </w:pPr>
            <w:r w:rsidRPr="00886BB7">
              <w:rPr>
                <w:rFonts w:ascii="Times New Roman" w:hAnsi="Times New Roman" w:cs="Times New Roman"/>
                <w:b/>
                <w:bCs/>
                <w:sz w:val="24"/>
                <w:szCs w:val="24"/>
                <w:lang w:eastAsia="lt-LT"/>
              </w:rPr>
              <w:t>V-01-001-12-01-01-04</w:t>
            </w:r>
            <w:r w:rsidRPr="00886BB7">
              <w:rPr>
                <w:rFonts w:ascii="Times New Roman" w:hAnsi="Times New Roman" w:cs="Times New Roman"/>
                <w:b/>
                <w:bCs/>
                <w:sz w:val="24"/>
                <w:szCs w:val="24"/>
              </w:rPr>
              <w:t xml:space="preserve"> Bendras perkančiųjų organizacijų vertinimas pagal Viešųjų pirkimų tarnybos </w:t>
            </w:r>
            <w:hyperlink r:id="rId20" w:history="1">
              <w:r w:rsidRPr="00886BB7">
                <w:rPr>
                  <w:rStyle w:val="Hipersaitas"/>
                  <w:rFonts w:ascii="Times New Roman" w:hAnsi="Times New Roman" w:cs="Times New Roman"/>
                  <w:b/>
                  <w:bCs/>
                  <w:color w:val="000000" w:themeColor="text1"/>
                  <w:sz w:val="24"/>
                  <w:szCs w:val="24"/>
                  <w:u w:val="none"/>
                </w:rPr>
                <w:t>švieslentės</w:t>
              </w:r>
            </w:hyperlink>
            <w:r w:rsidRPr="00886BB7">
              <w:rPr>
                <w:rFonts w:ascii="Times New Roman" w:hAnsi="Times New Roman" w:cs="Times New Roman"/>
                <w:b/>
                <w:bCs/>
                <w:color w:val="000000" w:themeColor="text1"/>
                <w:sz w:val="24"/>
                <w:szCs w:val="24"/>
              </w:rPr>
              <w:t xml:space="preserve"> </w:t>
            </w:r>
            <w:r w:rsidRPr="00886BB7">
              <w:rPr>
                <w:rFonts w:ascii="Times New Roman" w:hAnsi="Times New Roman" w:cs="Times New Roman"/>
                <w:b/>
                <w:bCs/>
                <w:sz w:val="24"/>
                <w:szCs w:val="24"/>
              </w:rPr>
              <w:t>duomenis, balais</w:t>
            </w:r>
          </w:p>
        </w:tc>
      </w:tr>
    </w:tbl>
    <w:p w14:paraId="3C59EBA2" w14:textId="77777777" w:rsidR="0029430F" w:rsidRDefault="0029430F" w:rsidP="00A37011">
      <w:pPr>
        <w:widowControl w:val="0"/>
        <w:spacing w:line="240" w:lineRule="auto"/>
        <w:rPr>
          <w:rFonts w:ascii="Times New Roman" w:eastAsiaTheme="minorEastAsia" w:hAnsi="Times New Roman" w:cs="Times New Roman"/>
          <w:b/>
          <w:bCs/>
        </w:rPr>
      </w:pPr>
    </w:p>
    <w:tbl>
      <w:tblPr>
        <w:tblStyle w:val="Lentelstinklelis"/>
        <w:tblW w:w="9634" w:type="dxa"/>
        <w:tblLook w:val="04A0" w:firstRow="1" w:lastRow="0" w:firstColumn="1" w:lastColumn="0" w:noHBand="0" w:noVBand="1"/>
      </w:tblPr>
      <w:tblGrid>
        <w:gridCol w:w="1323"/>
        <w:gridCol w:w="2675"/>
        <w:gridCol w:w="1435"/>
        <w:gridCol w:w="1435"/>
        <w:gridCol w:w="2766"/>
      </w:tblGrid>
      <w:tr w:rsidR="0029430F" w:rsidRPr="008128BA" w14:paraId="3044C61C" w14:textId="77777777" w:rsidTr="00090B91">
        <w:trPr>
          <w:trHeight w:val="1109"/>
        </w:trPr>
        <w:tc>
          <w:tcPr>
            <w:tcW w:w="1310" w:type="dxa"/>
            <w:tcBorders>
              <w:bottom w:val="single" w:sz="4" w:space="0" w:color="auto"/>
            </w:tcBorders>
            <w:shd w:val="clear" w:color="auto" w:fill="BFBFBF" w:themeFill="background1" w:themeFillShade="BF"/>
            <w:vAlign w:val="center"/>
            <w:hideMark/>
          </w:tcPr>
          <w:p w14:paraId="07AEF76F" w14:textId="77777777" w:rsidR="0029430F" w:rsidRPr="00E5438E" w:rsidRDefault="0029430F" w:rsidP="00090B91">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Stebėsenos rodiklio kodas</w:t>
            </w:r>
          </w:p>
        </w:tc>
        <w:tc>
          <w:tcPr>
            <w:tcW w:w="2682" w:type="dxa"/>
            <w:tcBorders>
              <w:bottom w:val="single" w:sz="4" w:space="0" w:color="auto"/>
            </w:tcBorders>
            <w:shd w:val="clear" w:color="auto" w:fill="BFBFBF" w:themeFill="background1" w:themeFillShade="BF"/>
            <w:vAlign w:val="center"/>
            <w:hideMark/>
          </w:tcPr>
          <w:p w14:paraId="5E571033" w14:textId="77777777" w:rsidR="0029430F" w:rsidRPr="00E5438E" w:rsidRDefault="0029430F" w:rsidP="00090B91">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Stebėsenos rodiklio pavadinimas, matavimo  vienetai</w:t>
            </w:r>
          </w:p>
        </w:tc>
        <w:tc>
          <w:tcPr>
            <w:tcW w:w="1438" w:type="dxa"/>
            <w:vMerge w:val="restart"/>
            <w:tcBorders>
              <w:bottom w:val="single" w:sz="4" w:space="0" w:color="auto"/>
            </w:tcBorders>
            <w:shd w:val="clear" w:color="auto" w:fill="BFBFBF" w:themeFill="background1" w:themeFillShade="BF"/>
            <w:vAlign w:val="center"/>
            <w:hideMark/>
          </w:tcPr>
          <w:p w14:paraId="4D155B2E" w14:textId="77777777" w:rsidR="0029430F" w:rsidRPr="00E5438E" w:rsidRDefault="0029430F" w:rsidP="00090B91">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2025 m. planinė reikšmė</w:t>
            </w:r>
          </w:p>
        </w:tc>
        <w:tc>
          <w:tcPr>
            <w:tcW w:w="1438" w:type="dxa"/>
            <w:vMerge w:val="restart"/>
            <w:tcBorders>
              <w:bottom w:val="single" w:sz="4" w:space="0" w:color="auto"/>
            </w:tcBorders>
            <w:shd w:val="clear" w:color="auto" w:fill="BFBFBF" w:themeFill="background1" w:themeFillShade="BF"/>
            <w:vAlign w:val="center"/>
            <w:hideMark/>
          </w:tcPr>
          <w:p w14:paraId="4757C7B5" w14:textId="77777777" w:rsidR="0029430F" w:rsidRPr="00E5438E" w:rsidRDefault="0029430F" w:rsidP="00090B91">
            <w:pPr>
              <w:pStyle w:val="Betarp"/>
              <w:jc w:val="center"/>
              <w:rPr>
                <w:rFonts w:ascii="Times New Roman" w:hAnsi="Times New Roman" w:cs="Times New Roman"/>
                <w:b/>
                <w:bCs/>
                <w:sz w:val="24"/>
                <w:szCs w:val="24"/>
              </w:rPr>
            </w:pPr>
            <w:r w:rsidRPr="00E5438E">
              <w:rPr>
                <w:rFonts w:ascii="Times New Roman" w:hAnsi="Times New Roman" w:cs="Times New Roman"/>
                <w:b/>
                <w:bCs/>
                <w:sz w:val="24"/>
                <w:szCs w:val="24"/>
              </w:rPr>
              <w:t>2025 m. faktinė reikšmė</w:t>
            </w:r>
          </w:p>
        </w:tc>
        <w:tc>
          <w:tcPr>
            <w:tcW w:w="2766" w:type="dxa"/>
            <w:vMerge w:val="restart"/>
            <w:tcBorders>
              <w:bottom w:val="single" w:sz="4" w:space="0" w:color="auto"/>
            </w:tcBorders>
            <w:shd w:val="clear" w:color="auto" w:fill="BFBFBF" w:themeFill="background1" w:themeFillShade="BF"/>
            <w:noWrap/>
            <w:vAlign w:val="center"/>
            <w:hideMark/>
          </w:tcPr>
          <w:p w14:paraId="0D9535FC" w14:textId="77777777" w:rsidR="0029430F" w:rsidRPr="00E5438E" w:rsidRDefault="0029430F" w:rsidP="00090B91">
            <w:pPr>
              <w:pStyle w:val="Betarp"/>
              <w:jc w:val="center"/>
              <w:rPr>
                <w:rFonts w:ascii="Times New Roman" w:hAnsi="Times New Roman" w:cs="Times New Roman"/>
                <w:sz w:val="24"/>
                <w:szCs w:val="24"/>
              </w:rPr>
            </w:pPr>
            <w:r w:rsidRPr="00E5438E">
              <w:rPr>
                <w:rFonts w:ascii="Times New Roman" w:hAnsi="Times New Roman" w:cs="Times New Roman"/>
                <w:b/>
                <w:bCs/>
                <w:sz w:val="24"/>
                <w:szCs w:val="24"/>
              </w:rPr>
              <w:t>Įvykdymo procentas</w:t>
            </w:r>
          </w:p>
        </w:tc>
      </w:tr>
      <w:tr w:rsidR="0029430F" w:rsidRPr="008128BA" w14:paraId="7E68FDDE" w14:textId="77777777" w:rsidTr="070233B9">
        <w:trPr>
          <w:trHeight w:val="780"/>
        </w:trPr>
        <w:tc>
          <w:tcPr>
            <w:tcW w:w="1310" w:type="dxa"/>
            <w:shd w:val="clear" w:color="auto" w:fill="D9D9D9" w:themeFill="background1" w:themeFillShade="D9"/>
            <w:hideMark/>
          </w:tcPr>
          <w:p w14:paraId="5970F789" w14:textId="77777777" w:rsidR="0029430F" w:rsidRPr="008128BA" w:rsidRDefault="0029430F" w:rsidP="00136D1B">
            <w:pPr>
              <w:pStyle w:val="Betarp"/>
              <w:jc w:val="both"/>
              <w:rPr>
                <w:rFonts w:ascii="Times New Roman" w:hAnsi="Times New Roman" w:cs="Times New Roman"/>
                <w:b/>
                <w:bCs/>
                <w:sz w:val="22"/>
                <w:szCs w:val="22"/>
              </w:rPr>
            </w:pPr>
          </w:p>
        </w:tc>
        <w:tc>
          <w:tcPr>
            <w:tcW w:w="2682" w:type="dxa"/>
            <w:shd w:val="clear" w:color="auto" w:fill="D9D9D9" w:themeFill="background1" w:themeFillShade="D9"/>
            <w:hideMark/>
          </w:tcPr>
          <w:p w14:paraId="5DD53B07" w14:textId="77777777" w:rsidR="0029430F" w:rsidRPr="008128BA" w:rsidRDefault="0029430F" w:rsidP="00136D1B">
            <w:pPr>
              <w:pStyle w:val="Betarp"/>
              <w:jc w:val="both"/>
              <w:rPr>
                <w:rFonts w:ascii="Times New Roman" w:hAnsi="Times New Roman" w:cs="Times New Roman"/>
                <w:b/>
                <w:bCs/>
                <w:sz w:val="22"/>
                <w:szCs w:val="22"/>
              </w:rPr>
            </w:pPr>
          </w:p>
        </w:tc>
        <w:tc>
          <w:tcPr>
            <w:tcW w:w="1438" w:type="dxa"/>
            <w:vMerge/>
            <w:hideMark/>
          </w:tcPr>
          <w:p w14:paraId="584669D6" w14:textId="77777777" w:rsidR="0029430F" w:rsidRPr="008128BA" w:rsidRDefault="0029430F" w:rsidP="00136D1B">
            <w:pPr>
              <w:pStyle w:val="Betarp"/>
              <w:jc w:val="both"/>
              <w:rPr>
                <w:rFonts w:ascii="Times New Roman" w:hAnsi="Times New Roman" w:cs="Times New Roman"/>
                <w:b/>
                <w:bCs/>
                <w:sz w:val="22"/>
                <w:szCs w:val="22"/>
              </w:rPr>
            </w:pPr>
          </w:p>
        </w:tc>
        <w:tc>
          <w:tcPr>
            <w:tcW w:w="1438" w:type="dxa"/>
            <w:vMerge/>
            <w:hideMark/>
          </w:tcPr>
          <w:p w14:paraId="20571EF8" w14:textId="77777777" w:rsidR="0029430F" w:rsidRPr="008128BA" w:rsidRDefault="0029430F" w:rsidP="00136D1B">
            <w:pPr>
              <w:pStyle w:val="Betarp"/>
              <w:jc w:val="both"/>
              <w:rPr>
                <w:rFonts w:ascii="Times New Roman" w:hAnsi="Times New Roman" w:cs="Times New Roman"/>
                <w:b/>
                <w:bCs/>
                <w:sz w:val="22"/>
                <w:szCs w:val="22"/>
              </w:rPr>
            </w:pPr>
          </w:p>
        </w:tc>
        <w:tc>
          <w:tcPr>
            <w:tcW w:w="2766" w:type="dxa"/>
            <w:vMerge/>
            <w:hideMark/>
          </w:tcPr>
          <w:p w14:paraId="494BDCF8" w14:textId="77777777" w:rsidR="0029430F" w:rsidRPr="008128BA" w:rsidRDefault="0029430F" w:rsidP="00136D1B">
            <w:pPr>
              <w:pStyle w:val="Betarp"/>
              <w:jc w:val="both"/>
              <w:rPr>
                <w:rFonts w:ascii="Times New Roman" w:hAnsi="Times New Roman" w:cs="Times New Roman"/>
                <w:b/>
                <w:bCs/>
                <w:sz w:val="22"/>
                <w:szCs w:val="22"/>
              </w:rPr>
            </w:pPr>
          </w:p>
        </w:tc>
      </w:tr>
      <w:tr w:rsidR="0029430F" w:rsidRPr="008128BA" w14:paraId="3D08F4CD" w14:textId="77777777" w:rsidTr="070233B9">
        <w:trPr>
          <w:trHeight w:val="778"/>
        </w:trPr>
        <w:tc>
          <w:tcPr>
            <w:tcW w:w="1310" w:type="dxa"/>
            <w:hideMark/>
          </w:tcPr>
          <w:p w14:paraId="1CE01D72" w14:textId="64BBE5EA" w:rsidR="0029430F" w:rsidRPr="00A27056" w:rsidRDefault="0029430F" w:rsidP="00136D1B">
            <w:pPr>
              <w:pStyle w:val="Betarp"/>
              <w:jc w:val="both"/>
              <w:rPr>
                <w:rFonts w:ascii="Times New Roman" w:hAnsi="Times New Roman" w:cs="Times New Roman"/>
                <w:sz w:val="24"/>
                <w:szCs w:val="24"/>
              </w:rPr>
            </w:pPr>
            <w:r w:rsidRPr="00A27056">
              <w:rPr>
                <w:rFonts w:ascii="Times New Roman" w:hAnsi="Times New Roman" w:cs="Times New Roman"/>
                <w:sz w:val="24"/>
                <w:szCs w:val="24"/>
                <w:lang w:eastAsia="lt-LT"/>
              </w:rPr>
              <w:t>V-01-001-12-01-01-04</w:t>
            </w:r>
          </w:p>
        </w:tc>
        <w:tc>
          <w:tcPr>
            <w:tcW w:w="2682" w:type="dxa"/>
            <w:hideMark/>
          </w:tcPr>
          <w:p w14:paraId="5CD65230" w14:textId="18AF9E6C" w:rsidR="0029430F" w:rsidRPr="00A27056" w:rsidRDefault="0029430F" w:rsidP="0062690E">
            <w:pPr>
              <w:jc w:val="both"/>
              <w:rPr>
                <w:rFonts w:ascii="Times New Roman" w:hAnsi="Times New Roman" w:cs="Times New Roman"/>
                <w:sz w:val="24"/>
                <w:szCs w:val="24"/>
              </w:rPr>
            </w:pPr>
            <w:r w:rsidRPr="00A27056">
              <w:rPr>
                <w:rFonts w:ascii="Times New Roman" w:hAnsi="Times New Roman" w:cs="Times New Roman"/>
                <w:sz w:val="24"/>
                <w:szCs w:val="24"/>
              </w:rPr>
              <w:t xml:space="preserve">Bendras perkančiųjų organizacijų vertinimas pagal Viešųjų pirkimų tarnybos </w:t>
            </w:r>
            <w:hyperlink r:id="rId21" w:history="1">
              <w:r w:rsidRPr="00A27056">
                <w:rPr>
                  <w:rStyle w:val="Hipersaitas"/>
                  <w:rFonts w:ascii="Times New Roman" w:hAnsi="Times New Roman" w:cs="Times New Roman"/>
                  <w:color w:val="000000" w:themeColor="text1"/>
                  <w:sz w:val="24"/>
                  <w:szCs w:val="24"/>
                  <w:u w:val="none"/>
                </w:rPr>
                <w:t>švieslentės</w:t>
              </w:r>
            </w:hyperlink>
            <w:r w:rsidRPr="00A27056">
              <w:rPr>
                <w:rFonts w:ascii="Times New Roman" w:hAnsi="Times New Roman" w:cs="Times New Roman"/>
                <w:color w:val="000000" w:themeColor="text1"/>
                <w:sz w:val="24"/>
                <w:szCs w:val="24"/>
              </w:rPr>
              <w:t xml:space="preserve"> </w:t>
            </w:r>
            <w:r w:rsidRPr="00A27056">
              <w:rPr>
                <w:rFonts w:ascii="Times New Roman" w:hAnsi="Times New Roman" w:cs="Times New Roman"/>
                <w:sz w:val="24"/>
                <w:szCs w:val="24"/>
              </w:rPr>
              <w:t>duomenis, balais</w:t>
            </w:r>
          </w:p>
        </w:tc>
        <w:tc>
          <w:tcPr>
            <w:tcW w:w="1438" w:type="dxa"/>
            <w:hideMark/>
          </w:tcPr>
          <w:p w14:paraId="251BE8FC" w14:textId="77777777" w:rsidR="0029430F" w:rsidRDefault="0029430F" w:rsidP="00136D1B">
            <w:pPr>
              <w:pStyle w:val="Betarp"/>
              <w:jc w:val="center"/>
              <w:rPr>
                <w:rFonts w:ascii="Times New Roman" w:hAnsi="Times New Roman" w:cs="Times New Roman"/>
                <w:sz w:val="22"/>
                <w:szCs w:val="22"/>
              </w:rPr>
            </w:pPr>
          </w:p>
          <w:p w14:paraId="3AC5D474" w14:textId="5E8032EA" w:rsidR="0029430F" w:rsidRPr="00A37011" w:rsidRDefault="0029430F" w:rsidP="0029430F">
            <w:pPr>
              <w:pStyle w:val="Betarp"/>
              <w:jc w:val="center"/>
              <w:rPr>
                <w:rFonts w:ascii="Times New Roman" w:hAnsi="Times New Roman" w:cs="Times New Roman"/>
                <w:sz w:val="22"/>
                <w:szCs w:val="22"/>
              </w:rPr>
            </w:pPr>
            <w:r>
              <w:rPr>
                <w:rFonts w:ascii="Times New Roman" w:hAnsi="Times New Roman" w:cs="Times New Roman"/>
                <w:sz w:val="22"/>
                <w:szCs w:val="22"/>
              </w:rPr>
              <w:t>2,4</w:t>
            </w:r>
          </w:p>
        </w:tc>
        <w:tc>
          <w:tcPr>
            <w:tcW w:w="1438" w:type="dxa"/>
            <w:hideMark/>
          </w:tcPr>
          <w:p w14:paraId="41B17668" w14:textId="77777777" w:rsidR="00914F87" w:rsidRDefault="00914F87" w:rsidP="00136D1B">
            <w:pPr>
              <w:pStyle w:val="Betarp"/>
              <w:jc w:val="center"/>
              <w:rPr>
                <w:rFonts w:ascii="Times New Roman" w:eastAsia="Times New Roman" w:hAnsi="Times New Roman" w:cs="Times New Roman"/>
                <w:strike/>
                <w:sz w:val="22"/>
                <w:szCs w:val="22"/>
              </w:rPr>
            </w:pPr>
          </w:p>
          <w:p w14:paraId="4F434350" w14:textId="4574A0E7" w:rsidR="0029430F" w:rsidRPr="00425C9C" w:rsidRDefault="00425C9C" w:rsidP="00136D1B">
            <w:pPr>
              <w:pStyle w:val="Betarp"/>
              <w:jc w:val="center"/>
              <w:rPr>
                <w:rFonts w:ascii="Times New Roman" w:eastAsia="Times New Roman" w:hAnsi="Times New Roman" w:cs="Times New Roman"/>
                <w:sz w:val="22"/>
                <w:szCs w:val="22"/>
              </w:rPr>
            </w:pPr>
            <w:r w:rsidRPr="00425C9C">
              <w:rPr>
                <w:rFonts w:ascii="Times New Roman" w:eastAsia="Times New Roman" w:hAnsi="Times New Roman" w:cs="Times New Roman"/>
                <w:sz w:val="22"/>
                <w:szCs w:val="22"/>
              </w:rPr>
              <w:t>2,6</w:t>
            </w:r>
          </w:p>
        </w:tc>
        <w:tc>
          <w:tcPr>
            <w:tcW w:w="2766" w:type="dxa"/>
            <w:hideMark/>
          </w:tcPr>
          <w:p w14:paraId="516087AC" w14:textId="77777777" w:rsidR="00914F87" w:rsidRDefault="00914F87" w:rsidP="00136D1B">
            <w:pPr>
              <w:pStyle w:val="Betarp"/>
              <w:jc w:val="center"/>
              <w:rPr>
                <w:rFonts w:ascii="Times New Roman" w:eastAsia="Times New Roman" w:hAnsi="Times New Roman" w:cs="Times New Roman"/>
                <w:strike/>
                <w:sz w:val="22"/>
                <w:szCs w:val="22"/>
              </w:rPr>
            </w:pPr>
          </w:p>
          <w:p w14:paraId="627A40B5" w14:textId="3EEB308C" w:rsidR="0029430F" w:rsidRPr="00425C9C" w:rsidRDefault="00425C9C" w:rsidP="00136D1B">
            <w:pPr>
              <w:pStyle w:val="Betarp"/>
              <w:jc w:val="center"/>
              <w:rPr>
                <w:rFonts w:ascii="Times New Roman" w:eastAsia="Times New Roman" w:hAnsi="Times New Roman" w:cs="Times New Roman"/>
                <w:sz w:val="22"/>
                <w:szCs w:val="22"/>
              </w:rPr>
            </w:pPr>
            <w:r w:rsidRPr="00425C9C">
              <w:rPr>
                <w:rFonts w:ascii="Times New Roman" w:eastAsia="Times New Roman" w:hAnsi="Times New Roman" w:cs="Times New Roman"/>
                <w:sz w:val="22"/>
                <w:szCs w:val="22"/>
              </w:rPr>
              <w:t>100</w:t>
            </w:r>
          </w:p>
          <w:p w14:paraId="07114822" w14:textId="27756D0A" w:rsidR="0029430F" w:rsidRPr="00C53FA1" w:rsidRDefault="0029430F" w:rsidP="00136D1B">
            <w:pPr>
              <w:pStyle w:val="Betarp"/>
              <w:jc w:val="center"/>
              <w:rPr>
                <w:rFonts w:ascii="Times New Roman" w:hAnsi="Times New Roman" w:cs="Times New Roman"/>
                <w:strike/>
                <w:sz w:val="22"/>
                <w:szCs w:val="22"/>
              </w:rPr>
            </w:pPr>
          </w:p>
        </w:tc>
      </w:tr>
      <w:tr w:rsidR="00021708" w:rsidRPr="008128BA" w14:paraId="51CFAAC8" w14:textId="77777777" w:rsidTr="070233B9">
        <w:trPr>
          <w:trHeight w:val="455"/>
        </w:trPr>
        <w:tc>
          <w:tcPr>
            <w:tcW w:w="9634" w:type="dxa"/>
            <w:gridSpan w:val="5"/>
            <w:shd w:val="clear" w:color="auto" w:fill="BFBFBF" w:themeFill="background1" w:themeFillShade="BF"/>
          </w:tcPr>
          <w:p w14:paraId="71292079" w14:textId="3570958E" w:rsidR="00021708" w:rsidRPr="008128BA" w:rsidRDefault="004E3A3E" w:rsidP="004E3A3E">
            <w:pPr>
              <w:pStyle w:val="Betarp"/>
              <w:rPr>
                <w:rFonts w:ascii="Times New Roman" w:eastAsia="Times New Roman" w:hAnsi="Times New Roman" w:cs="Times New Roman"/>
                <w:strike/>
                <w:sz w:val="22"/>
                <w:szCs w:val="22"/>
              </w:rPr>
            </w:pPr>
            <w:r w:rsidRPr="00957E33">
              <w:rPr>
                <w:rFonts w:ascii="Times New Roman" w:hAnsi="Times New Roman" w:cs="Times New Roman"/>
                <w:b/>
                <w:bCs/>
                <w:sz w:val="24"/>
                <w:szCs w:val="24"/>
              </w:rPr>
              <w:t>Stebėsenos rodiklio planinė reikšmė pasiekta</w:t>
            </w:r>
            <w:r>
              <w:rPr>
                <w:rFonts w:ascii="Times New Roman" w:hAnsi="Times New Roman" w:cs="Times New Roman"/>
                <w:b/>
                <w:bCs/>
                <w:sz w:val="24"/>
                <w:szCs w:val="24"/>
              </w:rPr>
              <w:t xml:space="preserve"> ir viršyta.</w:t>
            </w:r>
          </w:p>
        </w:tc>
      </w:tr>
    </w:tbl>
    <w:p w14:paraId="5BCC585E" w14:textId="77777777" w:rsidR="00886BB7" w:rsidRDefault="00886BB7" w:rsidP="00A27056">
      <w:pPr>
        <w:widowControl w:val="0"/>
        <w:spacing w:line="240" w:lineRule="auto"/>
        <w:rPr>
          <w:rFonts w:ascii="Times New Roman" w:eastAsiaTheme="minorEastAsia" w:hAnsi="Times New Roman" w:cs="Times New Roman"/>
          <w:b/>
          <w:b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B54072" w14:paraId="2B59DDBA" w14:textId="77777777" w:rsidTr="00E51C11">
        <w:tc>
          <w:tcPr>
            <w:tcW w:w="9493" w:type="dxa"/>
            <w:shd w:val="clear" w:color="auto" w:fill="DEEAF6" w:themeFill="accent1" w:themeFillTint="33"/>
          </w:tcPr>
          <w:p w14:paraId="26808422" w14:textId="19E0619C" w:rsidR="00B54072" w:rsidRPr="00090B91" w:rsidRDefault="00B54072" w:rsidP="0008775A">
            <w:pPr>
              <w:widowControl w:val="0"/>
              <w:ind w:firstLine="601"/>
              <w:jc w:val="both"/>
              <w:rPr>
                <w:rFonts w:ascii="Times New Roman" w:hAnsi="Times New Roman" w:cs="Times New Roman"/>
                <w:b/>
                <w:bCs/>
                <w:sz w:val="24"/>
                <w:szCs w:val="24"/>
              </w:rPr>
            </w:pPr>
            <w:r w:rsidRPr="00090B91">
              <w:rPr>
                <w:rFonts w:ascii="Times New Roman" w:hAnsi="Times New Roman" w:cs="Times New Roman"/>
                <w:b/>
                <w:bCs/>
                <w:sz w:val="24"/>
                <w:szCs w:val="24"/>
              </w:rPr>
              <w:t>V-01-001-12-01-02-01 Viešųjų pirkimų, susijusių su medicininės įrangos ir priemonių įsigijimu sveikatos priežiūrai užtikrinti, išskyrus mažos vertės  pirkimus ir pirkimus pagal Viešųjų pirkimų įstatymo 72 str. 3 dalį, vertinamų pagal kainos ar sąnaudų ir kokybės santykį, dalis per kalendorinius metus, ne mažiau kaip, proc.</w:t>
            </w:r>
          </w:p>
        </w:tc>
      </w:tr>
    </w:tbl>
    <w:p w14:paraId="7341F5C8" w14:textId="77777777" w:rsidR="00B54072" w:rsidRPr="008128BA" w:rsidRDefault="00B54072" w:rsidP="00A27056">
      <w:pPr>
        <w:widowControl w:val="0"/>
        <w:spacing w:line="240" w:lineRule="auto"/>
        <w:rPr>
          <w:rFonts w:ascii="Times New Roman" w:eastAsiaTheme="minorEastAsia" w:hAnsi="Times New Roman" w:cs="Times New Roman"/>
          <w:b/>
          <w:bCs/>
        </w:rPr>
      </w:pPr>
    </w:p>
    <w:tbl>
      <w:tblPr>
        <w:tblStyle w:val="Lentelstinklelis"/>
        <w:tblW w:w="0" w:type="auto"/>
        <w:tblLook w:val="04A0" w:firstRow="1" w:lastRow="0" w:firstColumn="1" w:lastColumn="0" w:noHBand="0" w:noVBand="1"/>
      </w:tblPr>
      <w:tblGrid>
        <w:gridCol w:w="1323"/>
        <w:gridCol w:w="2682"/>
        <w:gridCol w:w="1438"/>
        <w:gridCol w:w="1438"/>
        <w:gridCol w:w="2620"/>
      </w:tblGrid>
      <w:tr w:rsidR="006E73F1" w:rsidRPr="008128BA" w14:paraId="2CA794C9" w14:textId="77777777" w:rsidTr="070233B9">
        <w:trPr>
          <w:trHeight w:val="1109"/>
        </w:trPr>
        <w:tc>
          <w:tcPr>
            <w:tcW w:w="1310" w:type="dxa"/>
            <w:tcBorders>
              <w:bottom w:val="single" w:sz="4" w:space="0" w:color="auto"/>
            </w:tcBorders>
            <w:shd w:val="clear" w:color="auto" w:fill="BFBFBF" w:themeFill="background1" w:themeFillShade="BF"/>
            <w:hideMark/>
          </w:tcPr>
          <w:p w14:paraId="1AE737AA" w14:textId="7BF9B010" w:rsidR="006E73F1" w:rsidRPr="00090B91" w:rsidRDefault="49158DFC" w:rsidP="00F52193">
            <w:pPr>
              <w:pStyle w:val="Betarp"/>
              <w:jc w:val="both"/>
              <w:rPr>
                <w:rFonts w:ascii="Times New Roman" w:hAnsi="Times New Roman" w:cs="Times New Roman"/>
                <w:b/>
                <w:bCs/>
                <w:sz w:val="24"/>
                <w:szCs w:val="24"/>
              </w:rPr>
            </w:pPr>
            <w:r w:rsidRPr="00090B91">
              <w:rPr>
                <w:rFonts w:ascii="Times New Roman" w:hAnsi="Times New Roman" w:cs="Times New Roman"/>
                <w:b/>
                <w:bCs/>
                <w:sz w:val="24"/>
                <w:szCs w:val="24"/>
              </w:rPr>
              <w:t>Stebėsenos rodiklio</w:t>
            </w:r>
            <w:r w:rsidR="006E73F1" w:rsidRPr="00090B91">
              <w:rPr>
                <w:rFonts w:ascii="Times New Roman" w:hAnsi="Times New Roman" w:cs="Times New Roman"/>
                <w:b/>
                <w:bCs/>
                <w:sz w:val="24"/>
                <w:szCs w:val="24"/>
              </w:rPr>
              <w:t xml:space="preserve"> kodas</w:t>
            </w:r>
          </w:p>
        </w:tc>
        <w:tc>
          <w:tcPr>
            <w:tcW w:w="2682" w:type="dxa"/>
            <w:tcBorders>
              <w:bottom w:val="single" w:sz="4" w:space="0" w:color="auto"/>
            </w:tcBorders>
            <w:shd w:val="clear" w:color="auto" w:fill="BFBFBF" w:themeFill="background1" w:themeFillShade="BF"/>
            <w:hideMark/>
          </w:tcPr>
          <w:p w14:paraId="334F33EC" w14:textId="0530900B" w:rsidR="006E73F1" w:rsidRPr="00090B91" w:rsidRDefault="49158DFC" w:rsidP="0017766A">
            <w:pPr>
              <w:pStyle w:val="Betarp"/>
              <w:jc w:val="both"/>
              <w:rPr>
                <w:rFonts w:ascii="Times New Roman" w:hAnsi="Times New Roman" w:cs="Times New Roman"/>
                <w:b/>
                <w:bCs/>
                <w:sz w:val="24"/>
                <w:szCs w:val="24"/>
              </w:rPr>
            </w:pPr>
            <w:r w:rsidRPr="00090B91">
              <w:rPr>
                <w:rFonts w:ascii="Times New Roman" w:hAnsi="Times New Roman" w:cs="Times New Roman"/>
                <w:b/>
                <w:bCs/>
                <w:sz w:val="24"/>
                <w:szCs w:val="24"/>
              </w:rPr>
              <w:t xml:space="preserve">Stebėsenos rodiklio </w:t>
            </w:r>
            <w:r w:rsidR="006E73F1" w:rsidRPr="00090B91">
              <w:rPr>
                <w:rFonts w:ascii="Times New Roman" w:hAnsi="Times New Roman" w:cs="Times New Roman"/>
                <w:b/>
                <w:bCs/>
                <w:sz w:val="24"/>
                <w:szCs w:val="24"/>
              </w:rPr>
              <w:t xml:space="preserve"> pavadinimas, mat</w:t>
            </w:r>
            <w:r w:rsidRPr="00090B91">
              <w:rPr>
                <w:rFonts w:ascii="Times New Roman" w:hAnsi="Times New Roman" w:cs="Times New Roman"/>
                <w:b/>
                <w:bCs/>
                <w:sz w:val="24"/>
                <w:szCs w:val="24"/>
              </w:rPr>
              <w:t>avim</w:t>
            </w:r>
            <w:r w:rsidR="006E73F1" w:rsidRPr="00090B91">
              <w:rPr>
                <w:rFonts w:ascii="Times New Roman" w:hAnsi="Times New Roman" w:cs="Times New Roman"/>
                <w:b/>
                <w:bCs/>
                <w:sz w:val="24"/>
                <w:szCs w:val="24"/>
              </w:rPr>
              <w:t>o vienetai</w:t>
            </w:r>
          </w:p>
        </w:tc>
        <w:tc>
          <w:tcPr>
            <w:tcW w:w="1438" w:type="dxa"/>
            <w:vMerge w:val="restart"/>
            <w:tcBorders>
              <w:bottom w:val="single" w:sz="4" w:space="0" w:color="auto"/>
            </w:tcBorders>
            <w:shd w:val="clear" w:color="auto" w:fill="BFBFBF" w:themeFill="background1" w:themeFillShade="BF"/>
            <w:vAlign w:val="center"/>
            <w:hideMark/>
          </w:tcPr>
          <w:p w14:paraId="0087C34C" w14:textId="6CDDD9A7" w:rsidR="006E73F1" w:rsidRPr="00090B91" w:rsidRDefault="003F0884" w:rsidP="00C53FA1">
            <w:pPr>
              <w:pStyle w:val="Betarp"/>
              <w:jc w:val="center"/>
              <w:rPr>
                <w:rFonts w:ascii="Times New Roman" w:hAnsi="Times New Roman" w:cs="Times New Roman"/>
                <w:b/>
                <w:bCs/>
                <w:sz w:val="24"/>
                <w:szCs w:val="24"/>
              </w:rPr>
            </w:pPr>
            <w:r w:rsidRPr="00090B91">
              <w:rPr>
                <w:rFonts w:ascii="Times New Roman" w:hAnsi="Times New Roman" w:cs="Times New Roman"/>
                <w:b/>
                <w:bCs/>
                <w:sz w:val="24"/>
                <w:szCs w:val="24"/>
              </w:rPr>
              <w:t xml:space="preserve">2025 </w:t>
            </w:r>
            <w:r w:rsidR="006E73F1" w:rsidRPr="00090B91">
              <w:rPr>
                <w:rFonts w:ascii="Times New Roman" w:hAnsi="Times New Roman" w:cs="Times New Roman"/>
                <w:b/>
                <w:bCs/>
                <w:sz w:val="24"/>
                <w:szCs w:val="24"/>
              </w:rPr>
              <w:t>m. planinė reikšmė</w:t>
            </w:r>
          </w:p>
        </w:tc>
        <w:tc>
          <w:tcPr>
            <w:tcW w:w="1438" w:type="dxa"/>
            <w:vMerge w:val="restart"/>
            <w:tcBorders>
              <w:bottom w:val="single" w:sz="4" w:space="0" w:color="auto"/>
            </w:tcBorders>
            <w:shd w:val="clear" w:color="auto" w:fill="BFBFBF" w:themeFill="background1" w:themeFillShade="BF"/>
            <w:vAlign w:val="center"/>
            <w:hideMark/>
          </w:tcPr>
          <w:p w14:paraId="735BF6ED" w14:textId="78DBB4F6" w:rsidR="006E73F1" w:rsidRPr="00090B91" w:rsidRDefault="003F0884" w:rsidP="00C53FA1">
            <w:pPr>
              <w:pStyle w:val="Betarp"/>
              <w:jc w:val="center"/>
              <w:rPr>
                <w:rFonts w:ascii="Times New Roman" w:hAnsi="Times New Roman" w:cs="Times New Roman"/>
                <w:b/>
                <w:bCs/>
                <w:sz w:val="24"/>
                <w:szCs w:val="24"/>
              </w:rPr>
            </w:pPr>
            <w:r w:rsidRPr="00090B91">
              <w:rPr>
                <w:rFonts w:ascii="Times New Roman" w:hAnsi="Times New Roman" w:cs="Times New Roman"/>
                <w:b/>
                <w:bCs/>
                <w:sz w:val="24"/>
                <w:szCs w:val="24"/>
              </w:rPr>
              <w:t xml:space="preserve">2025 </w:t>
            </w:r>
            <w:r w:rsidR="006E73F1" w:rsidRPr="00090B91">
              <w:rPr>
                <w:rFonts w:ascii="Times New Roman" w:hAnsi="Times New Roman" w:cs="Times New Roman"/>
                <w:b/>
                <w:bCs/>
                <w:sz w:val="24"/>
                <w:szCs w:val="24"/>
              </w:rPr>
              <w:t>m. faktinė reikšmė</w:t>
            </w:r>
          </w:p>
        </w:tc>
        <w:tc>
          <w:tcPr>
            <w:tcW w:w="2620" w:type="dxa"/>
            <w:vMerge w:val="restart"/>
            <w:tcBorders>
              <w:bottom w:val="single" w:sz="4" w:space="0" w:color="auto"/>
            </w:tcBorders>
            <w:shd w:val="clear" w:color="auto" w:fill="BFBFBF" w:themeFill="background1" w:themeFillShade="BF"/>
            <w:noWrap/>
            <w:vAlign w:val="center"/>
            <w:hideMark/>
          </w:tcPr>
          <w:p w14:paraId="2A1CC468" w14:textId="33E7AA1B" w:rsidR="006E73F1" w:rsidRPr="00090B91" w:rsidRDefault="006E73F1" w:rsidP="00C53FA1">
            <w:pPr>
              <w:pStyle w:val="Betarp"/>
              <w:jc w:val="center"/>
              <w:rPr>
                <w:rFonts w:ascii="Times New Roman" w:hAnsi="Times New Roman" w:cs="Times New Roman"/>
                <w:sz w:val="24"/>
                <w:szCs w:val="24"/>
              </w:rPr>
            </w:pPr>
            <w:r w:rsidRPr="00090B91">
              <w:rPr>
                <w:rFonts w:ascii="Times New Roman" w:hAnsi="Times New Roman" w:cs="Times New Roman"/>
                <w:b/>
                <w:bCs/>
                <w:sz w:val="24"/>
                <w:szCs w:val="24"/>
              </w:rPr>
              <w:t>Įvykdymo procentas</w:t>
            </w:r>
          </w:p>
        </w:tc>
      </w:tr>
      <w:tr w:rsidR="006E73F1" w:rsidRPr="008128BA" w14:paraId="40B47410" w14:textId="77777777" w:rsidTr="070233B9">
        <w:trPr>
          <w:trHeight w:val="780"/>
        </w:trPr>
        <w:tc>
          <w:tcPr>
            <w:tcW w:w="1310" w:type="dxa"/>
            <w:shd w:val="clear" w:color="auto" w:fill="D9D9D9" w:themeFill="background1" w:themeFillShade="D9"/>
            <w:hideMark/>
          </w:tcPr>
          <w:p w14:paraId="3403B60B" w14:textId="59758FE5" w:rsidR="006E73F1" w:rsidRPr="008128BA" w:rsidRDefault="006E73F1" w:rsidP="002C24AF">
            <w:pPr>
              <w:pStyle w:val="Betarp"/>
              <w:jc w:val="both"/>
              <w:rPr>
                <w:rFonts w:ascii="Times New Roman" w:hAnsi="Times New Roman" w:cs="Times New Roman"/>
                <w:b/>
                <w:bCs/>
                <w:sz w:val="22"/>
                <w:szCs w:val="22"/>
              </w:rPr>
            </w:pPr>
          </w:p>
        </w:tc>
        <w:tc>
          <w:tcPr>
            <w:tcW w:w="2682" w:type="dxa"/>
            <w:shd w:val="clear" w:color="auto" w:fill="D9D9D9" w:themeFill="background1" w:themeFillShade="D9"/>
            <w:hideMark/>
          </w:tcPr>
          <w:p w14:paraId="0D6B815E" w14:textId="60C5E190" w:rsidR="006E73F1" w:rsidRPr="008128BA" w:rsidRDefault="006E73F1" w:rsidP="002C24AF">
            <w:pPr>
              <w:pStyle w:val="Betarp"/>
              <w:jc w:val="both"/>
              <w:rPr>
                <w:rFonts w:ascii="Times New Roman" w:hAnsi="Times New Roman" w:cs="Times New Roman"/>
                <w:b/>
                <w:bCs/>
                <w:sz w:val="22"/>
                <w:szCs w:val="22"/>
              </w:rPr>
            </w:pPr>
          </w:p>
        </w:tc>
        <w:tc>
          <w:tcPr>
            <w:tcW w:w="1438" w:type="dxa"/>
            <w:vMerge/>
            <w:hideMark/>
          </w:tcPr>
          <w:p w14:paraId="704E9D8E" w14:textId="77777777" w:rsidR="006E73F1" w:rsidRPr="008128BA" w:rsidRDefault="006E73F1" w:rsidP="002C24AF">
            <w:pPr>
              <w:pStyle w:val="Betarp"/>
              <w:jc w:val="both"/>
              <w:rPr>
                <w:rFonts w:ascii="Times New Roman" w:hAnsi="Times New Roman" w:cs="Times New Roman"/>
                <w:b/>
                <w:bCs/>
                <w:sz w:val="22"/>
                <w:szCs w:val="22"/>
              </w:rPr>
            </w:pPr>
          </w:p>
        </w:tc>
        <w:tc>
          <w:tcPr>
            <w:tcW w:w="1438" w:type="dxa"/>
            <w:vMerge/>
            <w:hideMark/>
          </w:tcPr>
          <w:p w14:paraId="12FF4973" w14:textId="77777777" w:rsidR="006E73F1" w:rsidRPr="008128BA" w:rsidRDefault="006E73F1" w:rsidP="002C24AF">
            <w:pPr>
              <w:pStyle w:val="Betarp"/>
              <w:jc w:val="both"/>
              <w:rPr>
                <w:rFonts w:ascii="Times New Roman" w:hAnsi="Times New Roman" w:cs="Times New Roman"/>
                <w:b/>
                <w:bCs/>
                <w:sz w:val="22"/>
                <w:szCs w:val="22"/>
              </w:rPr>
            </w:pPr>
          </w:p>
        </w:tc>
        <w:tc>
          <w:tcPr>
            <w:tcW w:w="2620" w:type="dxa"/>
            <w:vMerge/>
            <w:hideMark/>
          </w:tcPr>
          <w:p w14:paraId="66B173CD" w14:textId="77777777" w:rsidR="006E73F1" w:rsidRPr="008128BA" w:rsidRDefault="006E73F1" w:rsidP="002C24AF">
            <w:pPr>
              <w:pStyle w:val="Betarp"/>
              <w:jc w:val="both"/>
              <w:rPr>
                <w:rFonts w:ascii="Times New Roman" w:hAnsi="Times New Roman" w:cs="Times New Roman"/>
                <w:b/>
                <w:bCs/>
                <w:sz w:val="22"/>
                <w:szCs w:val="22"/>
              </w:rPr>
            </w:pPr>
          </w:p>
        </w:tc>
      </w:tr>
      <w:tr w:rsidR="006E73F1" w:rsidRPr="008128BA" w14:paraId="5080B833" w14:textId="77777777" w:rsidTr="070233B9">
        <w:trPr>
          <w:trHeight w:val="210"/>
        </w:trPr>
        <w:tc>
          <w:tcPr>
            <w:tcW w:w="1310" w:type="dxa"/>
            <w:hideMark/>
          </w:tcPr>
          <w:p w14:paraId="65D55590" w14:textId="34B36B23" w:rsidR="006E73F1" w:rsidRPr="00090B91" w:rsidRDefault="49158DFC" w:rsidP="00F52193">
            <w:pPr>
              <w:pStyle w:val="Betarp"/>
              <w:jc w:val="both"/>
              <w:rPr>
                <w:rFonts w:ascii="Times New Roman" w:hAnsi="Times New Roman" w:cs="Times New Roman"/>
                <w:sz w:val="24"/>
                <w:szCs w:val="24"/>
              </w:rPr>
            </w:pPr>
            <w:r w:rsidRPr="00090B91">
              <w:rPr>
                <w:rFonts w:ascii="Times New Roman" w:hAnsi="Times New Roman" w:cs="Times New Roman"/>
                <w:sz w:val="24"/>
                <w:szCs w:val="24"/>
              </w:rPr>
              <w:t>V</w:t>
            </w:r>
            <w:r w:rsidR="006E73F1" w:rsidRPr="00090B91">
              <w:rPr>
                <w:rFonts w:ascii="Times New Roman" w:hAnsi="Times New Roman" w:cs="Times New Roman"/>
                <w:sz w:val="24"/>
                <w:szCs w:val="24"/>
              </w:rPr>
              <w:t>-01-001-</w:t>
            </w:r>
            <w:r w:rsidRPr="00090B91">
              <w:rPr>
                <w:rFonts w:ascii="Times New Roman" w:hAnsi="Times New Roman" w:cs="Times New Roman"/>
                <w:sz w:val="24"/>
                <w:szCs w:val="24"/>
              </w:rPr>
              <w:t>12-</w:t>
            </w:r>
            <w:r w:rsidR="006E73F1" w:rsidRPr="00090B91">
              <w:rPr>
                <w:rFonts w:ascii="Times New Roman" w:hAnsi="Times New Roman" w:cs="Times New Roman"/>
                <w:sz w:val="24"/>
                <w:szCs w:val="24"/>
              </w:rPr>
              <w:t>01-</w:t>
            </w:r>
            <w:r w:rsidR="0029430F" w:rsidRPr="00090B91">
              <w:rPr>
                <w:rFonts w:ascii="Times New Roman" w:hAnsi="Times New Roman" w:cs="Times New Roman"/>
                <w:sz w:val="24"/>
                <w:szCs w:val="24"/>
              </w:rPr>
              <w:t>02</w:t>
            </w:r>
            <w:r w:rsidR="006E73F1" w:rsidRPr="00090B91">
              <w:rPr>
                <w:rFonts w:ascii="Times New Roman" w:hAnsi="Times New Roman" w:cs="Times New Roman"/>
                <w:sz w:val="24"/>
                <w:szCs w:val="24"/>
              </w:rPr>
              <w:t>-</w:t>
            </w:r>
            <w:r w:rsidR="0029430F" w:rsidRPr="00090B91">
              <w:rPr>
                <w:rFonts w:ascii="Times New Roman" w:hAnsi="Times New Roman" w:cs="Times New Roman"/>
                <w:sz w:val="24"/>
                <w:szCs w:val="24"/>
              </w:rPr>
              <w:t>01</w:t>
            </w:r>
          </w:p>
        </w:tc>
        <w:tc>
          <w:tcPr>
            <w:tcW w:w="2682" w:type="dxa"/>
            <w:hideMark/>
          </w:tcPr>
          <w:p w14:paraId="444067A7" w14:textId="0B7B1396" w:rsidR="006E73F1" w:rsidRPr="00090B91" w:rsidRDefault="006E73F1" w:rsidP="002C24AF">
            <w:pPr>
              <w:pStyle w:val="Betarp"/>
              <w:spacing w:line="276" w:lineRule="auto"/>
              <w:jc w:val="both"/>
              <w:rPr>
                <w:rFonts w:ascii="Times New Roman" w:hAnsi="Times New Roman" w:cs="Times New Roman"/>
                <w:sz w:val="24"/>
                <w:szCs w:val="24"/>
              </w:rPr>
            </w:pPr>
            <w:r w:rsidRPr="00090B91">
              <w:rPr>
                <w:rFonts w:ascii="Times New Roman" w:hAnsi="Times New Roman" w:cs="Times New Roman"/>
                <w:sz w:val="24"/>
                <w:szCs w:val="24"/>
              </w:rPr>
              <w:t>Viešųjų pirkimų,</w:t>
            </w:r>
            <w:r w:rsidR="005F74BB">
              <w:rPr>
                <w:rFonts w:ascii="Times New Roman" w:hAnsi="Times New Roman" w:cs="Times New Roman"/>
                <w:sz w:val="24"/>
                <w:szCs w:val="24"/>
              </w:rPr>
              <w:t xml:space="preserve"> susijusių su medicininės įrangos ir priemonių įsigijimu sveikatos priežiūrai užtikrinti., </w:t>
            </w:r>
            <w:r w:rsidRPr="00090B91">
              <w:rPr>
                <w:rFonts w:ascii="Times New Roman" w:hAnsi="Times New Roman" w:cs="Times New Roman"/>
                <w:sz w:val="24"/>
                <w:szCs w:val="24"/>
              </w:rPr>
              <w:t xml:space="preserve"> išskyrus mažos vertės pirkimus ir pirkimus pagal Viešųjų pirkimų įstatymo 72 str. 3 dalį, vertinamų pagal kainos ar sąnaudų ir kokybės santykį, dalis per kalendorinius </w:t>
            </w:r>
            <w:r w:rsidR="00C340B6">
              <w:rPr>
                <w:rFonts w:ascii="Times New Roman" w:hAnsi="Times New Roman" w:cs="Times New Roman"/>
                <w:sz w:val="24"/>
                <w:szCs w:val="24"/>
              </w:rPr>
              <w:t>m</w:t>
            </w:r>
            <w:r w:rsidRPr="00090B91">
              <w:rPr>
                <w:rFonts w:ascii="Times New Roman" w:hAnsi="Times New Roman" w:cs="Times New Roman"/>
                <w:sz w:val="24"/>
                <w:szCs w:val="24"/>
              </w:rPr>
              <w:t>etus, ne mažiau kaip, proc</w:t>
            </w:r>
            <w:r w:rsidR="001F4ED5">
              <w:rPr>
                <w:rFonts w:ascii="Times New Roman" w:hAnsi="Times New Roman" w:cs="Times New Roman"/>
                <w:sz w:val="24"/>
                <w:szCs w:val="24"/>
              </w:rPr>
              <w:t>.</w:t>
            </w:r>
            <w:r w:rsidRPr="00090B91">
              <w:rPr>
                <w:rFonts w:ascii="Times New Roman" w:hAnsi="Times New Roman" w:cs="Times New Roman"/>
                <w:b/>
                <w:bCs/>
                <w:sz w:val="24"/>
                <w:szCs w:val="24"/>
              </w:rPr>
              <w:t xml:space="preserve"> </w:t>
            </w:r>
          </w:p>
        </w:tc>
        <w:tc>
          <w:tcPr>
            <w:tcW w:w="1438" w:type="dxa"/>
            <w:hideMark/>
          </w:tcPr>
          <w:p w14:paraId="116E01D4" w14:textId="77777777" w:rsidR="00A03221" w:rsidRPr="00090B91" w:rsidRDefault="00A03221" w:rsidP="002C24AF">
            <w:pPr>
              <w:pStyle w:val="Betarp"/>
              <w:jc w:val="center"/>
              <w:rPr>
                <w:rFonts w:ascii="Times New Roman" w:hAnsi="Times New Roman" w:cs="Times New Roman"/>
                <w:sz w:val="24"/>
                <w:szCs w:val="24"/>
              </w:rPr>
            </w:pPr>
          </w:p>
          <w:p w14:paraId="75D5528C" w14:textId="10FE9385" w:rsidR="006E73F1" w:rsidRPr="00090B91" w:rsidRDefault="0029430F" w:rsidP="002C24AF">
            <w:pPr>
              <w:pStyle w:val="Betarp"/>
              <w:jc w:val="center"/>
              <w:rPr>
                <w:rFonts w:ascii="Times New Roman" w:hAnsi="Times New Roman" w:cs="Times New Roman"/>
                <w:sz w:val="24"/>
                <w:szCs w:val="24"/>
              </w:rPr>
            </w:pPr>
            <w:r w:rsidRPr="00090B91">
              <w:rPr>
                <w:rFonts w:ascii="Times New Roman" w:hAnsi="Times New Roman" w:cs="Times New Roman"/>
                <w:sz w:val="24"/>
                <w:szCs w:val="24"/>
              </w:rPr>
              <w:t>75</w:t>
            </w:r>
          </w:p>
        </w:tc>
        <w:tc>
          <w:tcPr>
            <w:tcW w:w="1438" w:type="dxa"/>
            <w:hideMark/>
          </w:tcPr>
          <w:p w14:paraId="7CA0F57E" w14:textId="77777777" w:rsidR="00090B91" w:rsidRDefault="00090B91" w:rsidP="002C24AF">
            <w:pPr>
              <w:pStyle w:val="Betarp"/>
              <w:jc w:val="center"/>
              <w:rPr>
                <w:rFonts w:ascii="Times New Roman" w:hAnsi="Times New Roman" w:cs="Times New Roman"/>
                <w:sz w:val="24"/>
                <w:szCs w:val="24"/>
              </w:rPr>
            </w:pPr>
          </w:p>
          <w:p w14:paraId="13CCBFBF" w14:textId="18C887A6" w:rsidR="006E73F1" w:rsidRPr="00090B91" w:rsidRDefault="003C3E95" w:rsidP="002C24AF">
            <w:pPr>
              <w:pStyle w:val="Betarp"/>
              <w:jc w:val="center"/>
              <w:rPr>
                <w:rFonts w:ascii="Times New Roman" w:hAnsi="Times New Roman" w:cs="Times New Roman"/>
                <w:sz w:val="24"/>
                <w:szCs w:val="24"/>
              </w:rPr>
            </w:pPr>
            <w:r>
              <w:rPr>
                <w:rFonts w:ascii="Times New Roman" w:hAnsi="Times New Roman" w:cs="Times New Roman"/>
                <w:sz w:val="24"/>
                <w:szCs w:val="24"/>
              </w:rPr>
              <w:t>100</w:t>
            </w:r>
          </w:p>
        </w:tc>
        <w:tc>
          <w:tcPr>
            <w:tcW w:w="2620" w:type="dxa"/>
            <w:hideMark/>
          </w:tcPr>
          <w:p w14:paraId="29B3B67C" w14:textId="77777777" w:rsidR="006E73F1" w:rsidRDefault="006E73F1" w:rsidP="002C24AF">
            <w:pPr>
              <w:pStyle w:val="Betarp"/>
              <w:jc w:val="center"/>
              <w:rPr>
                <w:rFonts w:ascii="Times New Roman" w:hAnsi="Times New Roman" w:cs="Times New Roman"/>
                <w:sz w:val="24"/>
                <w:szCs w:val="24"/>
              </w:rPr>
            </w:pPr>
          </w:p>
          <w:p w14:paraId="30E4B1AB" w14:textId="3915A5BA" w:rsidR="00090B91" w:rsidRPr="00090B91" w:rsidRDefault="003C3E95" w:rsidP="002C24AF">
            <w:pPr>
              <w:pStyle w:val="Betarp"/>
              <w:jc w:val="center"/>
              <w:rPr>
                <w:rFonts w:ascii="Times New Roman" w:hAnsi="Times New Roman" w:cs="Times New Roman"/>
                <w:sz w:val="24"/>
                <w:szCs w:val="24"/>
              </w:rPr>
            </w:pPr>
            <w:r>
              <w:rPr>
                <w:rFonts w:ascii="Times New Roman" w:hAnsi="Times New Roman" w:cs="Times New Roman"/>
                <w:sz w:val="24"/>
                <w:szCs w:val="24"/>
              </w:rPr>
              <w:t>100</w:t>
            </w:r>
          </w:p>
        </w:tc>
      </w:tr>
      <w:tr w:rsidR="006E73F1" w:rsidRPr="008128BA" w14:paraId="012EE591" w14:textId="77777777" w:rsidTr="070233B9">
        <w:trPr>
          <w:trHeight w:val="388"/>
        </w:trPr>
        <w:tc>
          <w:tcPr>
            <w:tcW w:w="9488" w:type="dxa"/>
            <w:gridSpan w:val="5"/>
            <w:shd w:val="clear" w:color="auto" w:fill="BFBFBF" w:themeFill="background1" w:themeFillShade="BF"/>
          </w:tcPr>
          <w:p w14:paraId="75275683" w14:textId="78A021B5" w:rsidR="006E73F1" w:rsidRPr="008128BA" w:rsidRDefault="008056BA" w:rsidP="092ADAC3">
            <w:pPr>
              <w:widowControl w:val="0"/>
              <w:spacing w:line="276" w:lineRule="auto"/>
              <w:jc w:val="both"/>
              <w:rPr>
                <w:rFonts w:ascii="Times New Roman" w:hAnsi="Times New Roman" w:cs="Times New Roman"/>
                <w:b/>
                <w:bCs/>
                <w:sz w:val="22"/>
                <w:szCs w:val="22"/>
              </w:rPr>
            </w:pPr>
            <w:r w:rsidRPr="00957E33">
              <w:rPr>
                <w:rFonts w:ascii="Times New Roman" w:hAnsi="Times New Roman" w:cs="Times New Roman"/>
                <w:b/>
                <w:bCs/>
                <w:sz w:val="24"/>
                <w:szCs w:val="24"/>
              </w:rPr>
              <w:t>Stebėsenos rodiklio planinė reikšmė pasiekta</w:t>
            </w:r>
            <w:r>
              <w:rPr>
                <w:rFonts w:ascii="Times New Roman" w:hAnsi="Times New Roman" w:cs="Times New Roman"/>
                <w:b/>
                <w:bCs/>
                <w:sz w:val="24"/>
                <w:szCs w:val="24"/>
              </w:rPr>
              <w:t xml:space="preserve"> ir</w:t>
            </w:r>
            <w:r w:rsidR="00BF259D">
              <w:rPr>
                <w:rFonts w:ascii="Times New Roman" w:hAnsi="Times New Roman" w:cs="Times New Roman"/>
                <w:b/>
                <w:bCs/>
                <w:sz w:val="24"/>
                <w:szCs w:val="24"/>
              </w:rPr>
              <w:t xml:space="preserve"> </w:t>
            </w:r>
            <w:r>
              <w:rPr>
                <w:rFonts w:ascii="Times New Roman" w:hAnsi="Times New Roman" w:cs="Times New Roman"/>
                <w:b/>
                <w:bCs/>
                <w:sz w:val="24"/>
                <w:szCs w:val="24"/>
              </w:rPr>
              <w:t>viršyta.</w:t>
            </w:r>
          </w:p>
        </w:tc>
      </w:tr>
    </w:tbl>
    <w:p w14:paraId="6DC80FB4" w14:textId="77777777" w:rsidR="005324E0" w:rsidRPr="008128BA" w:rsidRDefault="005324E0" w:rsidP="00A27056">
      <w:pPr>
        <w:widowControl w:val="0"/>
        <w:spacing w:line="240" w:lineRule="auto"/>
        <w:rPr>
          <w:rFonts w:ascii="Times New Roman" w:eastAsiaTheme="minorEastAsia" w:hAnsi="Times New Roman" w:cs="Times New Roman"/>
          <w:b/>
          <w:bCs/>
        </w:rPr>
      </w:pPr>
    </w:p>
    <w:p w14:paraId="2BF791D0" w14:textId="5B7C620A" w:rsidR="00CB46B3" w:rsidRPr="000A5B81" w:rsidRDefault="4D7793AF" w:rsidP="0008775A">
      <w:pPr>
        <w:pStyle w:val="Betarp"/>
        <w:shd w:val="clear" w:color="auto" w:fill="DEEAF6" w:themeFill="accent1" w:themeFillTint="33"/>
        <w:spacing w:line="276" w:lineRule="auto"/>
        <w:ind w:firstLine="567"/>
        <w:jc w:val="both"/>
        <w:rPr>
          <w:rFonts w:ascii="Times New Roman" w:hAnsi="Times New Roman" w:cs="Times New Roman"/>
          <w:sz w:val="24"/>
          <w:szCs w:val="24"/>
        </w:rPr>
      </w:pPr>
      <w:r w:rsidRPr="000A5B81">
        <w:rPr>
          <w:rFonts w:ascii="Times New Roman" w:hAnsi="Times New Roman" w:cs="Times New Roman"/>
          <w:b/>
          <w:bCs/>
          <w:sz w:val="24"/>
          <w:szCs w:val="24"/>
        </w:rPr>
        <w:lastRenderedPageBreak/>
        <w:t xml:space="preserve">R-01-001-12-01-01-02 </w:t>
      </w:r>
      <w:r w:rsidRPr="000A5B81">
        <w:rPr>
          <w:rFonts w:ascii="Times New Roman" w:hAnsi="Times New Roman" w:cs="Times New Roman"/>
          <w:b/>
          <w:bCs/>
          <w:color w:val="000000" w:themeColor="text1"/>
          <w:sz w:val="24"/>
          <w:szCs w:val="24"/>
        </w:rPr>
        <w:t>Pagal suteiktus įgaliojimus užtikrintas viešųjų pirkimų procedūrų atlikimas dėl joms reikalingų ginklų, ginklų priedėlių, šaudmenų</w:t>
      </w:r>
      <w:r w:rsidR="470C7F58" w:rsidRPr="000A5B81">
        <w:rPr>
          <w:rFonts w:ascii="Times New Roman" w:hAnsi="Times New Roman" w:cs="Times New Roman"/>
          <w:b/>
          <w:bCs/>
          <w:color w:val="000000" w:themeColor="text1"/>
          <w:sz w:val="24"/>
          <w:szCs w:val="24"/>
        </w:rPr>
        <w:t xml:space="preserve"> ir jų dalių</w:t>
      </w:r>
      <w:r w:rsidRPr="000A5B81">
        <w:rPr>
          <w:rFonts w:ascii="Times New Roman" w:hAnsi="Times New Roman" w:cs="Times New Roman"/>
          <w:b/>
          <w:bCs/>
          <w:color w:val="000000" w:themeColor="text1"/>
          <w:sz w:val="24"/>
          <w:szCs w:val="24"/>
        </w:rPr>
        <w:t xml:space="preserve"> įsigijimo</w:t>
      </w:r>
    </w:p>
    <w:p w14:paraId="5796784E" w14:textId="77777777" w:rsidR="006E73F1" w:rsidRPr="000A5B81" w:rsidRDefault="006E73F1" w:rsidP="092ADAC3">
      <w:pPr>
        <w:widowControl w:val="0"/>
        <w:spacing w:line="240" w:lineRule="auto"/>
        <w:ind w:firstLine="851"/>
        <w:jc w:val="center"/>
        <w:rPr>
          <w:rFonts w:ascii="Times New Roman" w:eastAsiaTheme="minorEastAsia" w:hAnsi="Times New Roman" w:cs="Times New Roman"/>
          <w:b/>
          <w:bCs/>
          <w:sz w:val="24"/>
          <w:szCs w:val="24"/>
        </w:rPr>
      </w:pPr>
    </w:p>
    <w:tbl>
      <w:tblPr>
        <w:tblStyle w:val="Lentelstinklelis"/>
        <w:tblW w:w="9776" w:type="dxa"/>
        <w:tblLook w:val="04A0" w:firstRow="1" w:lastRow="0" w:firstColumn="1" w:lastColumn="0" w:noHBand="0" w:noVBand="1"/>
      </w:tblPr>
      <w:tblGrid>
        <w:gridCol w:w="1323"/>
        <w:gridCol w:w="1960"/>
        <w:gridCol w:w="1980"/>
        <w:gridCol w:w="1962"/>
        <w:gridCol w:w="2551"/>
      </w:tblGrid>
      <w:tr w:rsidR="003F0884" w:rsidRPr="000A5B81" w14:paraId="13D11732" w14:textId="77777777" w:rsidTr="000A5B81">
        <w:trPr>
          <w:trHeight w:val="1109"/>
        </w:trPr>
        <w:tc>
          <w:tcPr>
            <w:tcW w:w="1264" w:type="dxa"/>
            <w:tcBorders>
              <w:bottom w:val="single" w:sz="4" w:space="0" w:color="auto"/>
            </w:tcBorders>
            <w:shd w:val="clear" w:color="auto" w:fill="BFBFBF" w:themeFill="background1" w:themeFillShade="BF"/>
            <w:vAlign w:val="center"/>
            <w:hideMark/>
          </w:tcPr>
          <w:p w14:paraId="1886022B" w14:textId="77777777" w:rsidR="003F0884" w:rsidRPr="000A5B81" w:rsidRDefault="003F0884" w:rsidP="000A5B81">
            <w:pPr>
              <w:pStyle w:val="Betarp"/>
              <w:jc w:val="center"/>
              <w:rPr>
                <w:rFonts w:ascii="Times New Roman" w:hAnsi="Times New Roman" w:cs="Times New Roman"/>
                <w:b/>
                <w:bCs/>
                <w:sz w:val="24"/>
                <w:szCs w:val="24"/>
              </w:rPr>
            </w:pPr>
            <w:r w:rsidRPr="000A5B81">
              <w:rPr>
                <w:rFonts w:ascii="Times New Roman" w:hAnsi="Times New Roman" w:cs="Times New Roman"/>
                <w:b/>
                <w:bCs/>
                <w:sz w:val="24"/>
                <w:szCs w:val="24"/>
              </w:rPr>
              <w:t>Stebėsenos rodiklio kodas</w:t>
            </w:r>
          </w:p>
        </w:tc>
        <w:tc>
          <w:tcPr>
            <w:tcW w:w="1972" w:type="dxa"/>
            <w:tcBorders>
              <w:bottom w:val="single" w:sz="4" w:space="0" w:color="auto"/>
            </w:tcBorders>
            <w:shd w:val="clear" w:color="auto" w:fill="BFBFBF" w:themeFill="background1" w:themeFillShade="BF"/>
            <w:vAlign w:val="center"/>
            <w:hideMark/>
          </w:tcPr>
          <w:p w14:paraId="7BA400AB" w14:textId="77777777" w:rsidR="003F0884" w:rsidRPr="000A5B81" w:rsidRDefault="003F0884" w:rsidP="000A5B81">
            <w:pPr>
              <w:pStyle w:val="Betarp"/>
              <w:jc w:val="center"/>
              <w:rPr>
                <w:rFonts w:ascii="Times New Roman" w:hAnsi="Times New Roman" w:cs="Times New Roman"/>
                <w:b/>
                <w:bCs/>
                <w:sz w:val="24"/>
                <w:szCs w:val="24"/>
              </w:rPr>
            </w:pPr>
            <w:r w:rsidRPr="000A5B81">
              <w:rPr>
                <w:rFonts w:ascii="Times New Roman" w:hAnsi="Times New Roman" w:cs="Times New Roman"/>
                <w:b/>
                <w:bCs/>
                <w:sz w:val="24"/>
                <w:szCs w:val="24"/>
              </w:rPr>
              <w:t>Stebėsenos rodiklio pavadinimas, matavimo vienetai</w:t>
            </w:r>
          </w:p>
        </w:tc>
        <w:tc>
          <w:tcPr>
            <w:tcW w:w="2004" w:type="dxa"/>
            <w:vMerge w:val="restart"/>
            <w:tcBorders>
              <w:bottom w:val="single" w:sz="4" w:space="0" w:color="auto"/>
            </w:tcBorders>
            <w:shd w:val="clear" w:color="auto" w:fill="BFBFBF" w:themeFill="background1" w:themeFillShade="BF"/>
            <w:vAlign w:val="center"/>
            <w:hideMark/>
          </w:tcPr>
          <w:p w14:paraId="5DBA8F50" w14:textId="47A60D75" w:rsidR="003F0884" w:rsidRPr="000A5B81" w:rsidRDefault="003F0884" w:rsidP="000A5B81">
            <w:pPr>
              <w:pStyle w:val="Betarp"/>
              <w:ind w:firstLine="4"/>
              <w:jc w:val="center"/>
              <w:rPr>
                <w:rFonts w:ascii="Times New Roman" w:hAnsi="Times New Roman" w:cs="Times New Roman"/>
                <w:b/>
                <w:bCs/>
                <w:sz w:val="24"/>
                <w:szCs w:val="24"/>
              </w:rPr>
            </w:pPr>
            <w:r w:rsidRPr="000A5B81">
              <w:rPr>
                <w:rFonts w:ascii="Times New Roman" w:hAnsi="Times New Roman" w:cs="Times New Roman"/>
                <w:b/>
                <w:bCs/>
                <w:sz w:val="24"/>
                <w:szCs w:val="24"/>
              </w:rPr>
              <w:t>2025 m. planinė reikšmė</w:t>
            </w:r>
          </w:p>
        </w:tc>
        <w:tc>
          <w:tcPr>
            <w:tcW w:w="1985" w:type="dxa"/>
            <w:vMerge w:val="restart"/>
            <w:tcBorders>
              <w:bottom w:val="single" w:sz="4" w:space="0" w:color="auto"/>
            </w:tcBorders>
            <w:shd w:val="clear" w:color="auto" w:fill="BFBFBF" w:themeFill="background1" w:themeFillShade="BF"/>
            <w:vAlign w:val="center"/>
            <w:hideMark/>
          </w:tcPr>
          <w:p w14:paraId="5918DF2E" w14:textId="485F2469" w:rsidR="003F0884" w:rsidRPr="000A5B81" w:rsidRDefault="003F0884" w:rsidP="000A5B81">
            <w:pPr>
              <w:pStyle w:val="Betarp"/>
              <w:ind w:firstLine="4"/>
              <w:jc w:val="center"/>
              <w:rPr>
                <w:rFonts w:ascii="Times New Roman" w:hAnsi="Times New Roman" w:cs="Times New Roman"/>
                <w:b/>
                <w:bCs/>
                <w:sz w:val="24"/>
                <w:szCs w:val="24"/>
              </w:rPr>
            </w:pPr>
            <w:r w:rsidRPr="000A5B81">
              <w:rPr>
                <w:rFonts w:ascii="Times New Roman" w:hAnsi="Times New Roman" w:cs="Times New Roman"/>
                <w:b/>
                <w:bCs/>
                <w:sz w:val="24"/>
                <w:szCs w:val="24"/>
              </w:rPr>
              <w:t>2025 m. faktinė reikšmė</w:t>
            </w:r>
          </w:p>
        </w:tc>
        <w:tc>
          <w:tcPr>
            <w:tcW w:w="2551" w:type="dxa"/>
            <w:vMerge w:val="restart"/>
            <w:tcBorders>
              <w:bottom w:val="single" w:sz="4" w:space="0" w:color="auto"/>
            </w:tcBorders>
            <w:shd w:val="clear" w:color="auto" w:fill="BFBFBF" w:themeFill="background1" w:themeFillShade="BF"/>
            <w:noWrap/>
            <w:vAlign w:val="center"/>
            <w:hideMark/>
          </w:tcPr>
          <w:p w14:paraId="2A36CFDD" w14:textId="77777777" w:rsidR="003F0884" w:rsidRPr="000A5B81" w:rsidRDefault="003F0884" w:rsidP="000A5B81">
            <w:pPr>
              <w:pStyle w:val="Betarp"/>
              <w:ind w:hanging="35"/>
              <w:jc w:val="center"/>
              <w:rPr>
                <w:rFonts w:ascii="Times New Roman" w:hAnsi="Times New Roman" w:cs="Times New Roman"/>
                <w:sz w:val="24"/>
                <w:szCs w:val="24"/>
              </w:rPr>
            </w:pPr>
            <w:r w:rsidRPr="000A5B81">
              <w:rPr>
                <w:rFonts w:ascii="Times New Roman" w:hAnsi="Times New Roman" w:cs="Times New Roman"/>
                <w:b/>
                <w:bCs/>
                <w:sz w:val="24"/>
                <w:szCs w:val="24"/>
              </w:rPr>
              <w:t>Įvykdymo procentas</w:t>
            </w:r>
          </w:p>
        </w:tc>
      </w:tr>
      <w:tr w:rsidR="003F0884" w:rsidRPr="000A5B81" w14:paraId="381DE97C" w14:textId="77777777" w:rsidTr="070233B9">
        <w:trPr>
          <w:trHeight w:val="780"/>
        </w:trPr>
        <w:tc>
          <w:tcPr>
            <w:tcW w:w="1264" w:type="dxa"/>
            <w:shd w:val="clear" w:color="auto" w:fill="D9D9D9" w:themeFill="background1" w:themeFillShade="D9"/>
            <w:hideMark/>
          </w:tcPr>
          <w:p w14:paraId="57739EB2" w14:textId="77777777" w:rsidR="003F0884" w:rsidRPr="000A5B81" w:rsidRDefault="003F0884" w:rsidP="008F107A">
            <w:pPr>
              <w:pStyle w:val="Betarp"/>
              <w:jc w:val="both"/>
              <w:rPr>
                <w:rFonts w:ascii="Times New Roman" w:hAnsi="Times New Roman" w:cs="Times New Roman"/>
                <w:b/>
                <w:bCs/>
                <w:sz w:val="24"/>
                <w:szCs w:val="24"/>
              </w:rPr>
            </w:pPr>
          </w:p>
        </w:tc>
        <w:tc>
          <w:tcPr>
            <w:tcW w:w="1972" w:type="dxa"/>
            <w:shd w:val="clear" w:color="auto" w:fill="D9D9D9" w:themeFill="background1" w:themeFillShade="D9"/>
            <w:hideMark/>
          </w:tcPr>
          <w:p w14:paraId="4108BD4A" w14:textId="77777777" w:rsidR="003F0884" w:rsidRPr="000A5B81" w:rsidRDefault="003F0884" w:rsidP="008F107A">
            <w:pPr>
              <w:pStyle w:val="Betarp"/>
              <w:ind w:hanging="5"/>
              <w:rPr>
                <w:rFonts w:ascii="Times New Roman" w:hAnsi="Times New Roman" w:cs="Times New Roman"/>
                <w:b/>
                <w:bCs/>
                <w:sz w:val="24"/>
                <w:szCs w:val="24"/>
              </w:rPr>
            </w:pPr>
          </w:p>
        </w:tc>
        <w:tc>
          <w:tcPr>
            <w:tcW w:w="2004" w:type="dxa"/>
            <w:vMerge/>
            <w:hideMark/>
          </w:tcPr>
          <w:p w14:paraId="07529BAC" w14:textId="77777777" w:rsidR="003F0884" w:rsidRPr="000A5B81" w:rsidRDefault="003F0884" w:rsidP="008F107A">
            <w:pPr>
              <w:pStyle w:val="Betarp"/>
              <w:ind w:firstLine="851"/>
              <w:jc w:val="both"/>
              <w:rPr>
                <w:rFonts w:ascii="Times New Roman" w:hAnsi="Times New Roman" w:cs="Times New Roman"/>
                <w:b/>
                <w:bCs/>
                <w:sz w:val="24"/>
                <w:szCs w:val="24"/>
              </w:rPr>
            </w:pPr>
          </w:p>
        </w:tc>
        <w:tc>
          <w:tcPr>
            <w:tcW w:w="1985" w:type="dxa"/>
            <w:vMerge/>
            <w:hideMark/>
          </w:tcPr>
          <w:p w14:paraId="072ADC85" w14:textId="77777777" w:rsidR="003F0884" w:rsidRPr="000A5B81" w:rsidRDefault="003F0884" w:rsidP="008F107A">
            <w:pPr>
              <w:pStyle w:val="Betarp"/>
              <w:ind w:firstLine="851"/>
              <w:jc w:val="both"/>
              <w:rPr>
                <w:rFonts w:ascii="Times New Roman" w:hAnsi="Times New Roman" w:cs="Times New Roman"/>
                <w:b/>
                <w:bCs/>
                <w:sz w:val="24"/>
                <w:szCs w:val="24"/>
              </w:rPr>
            </w:pPr>
          </w:p>
        </w:tc>
        <w:tc>
          <w:tcPr>
            <w:tcW w:w="2551" w:type="dxa"/>
            <w:vMerge/>
            <w:hideMark/>
          </w:tcPr>
          <w:p w14:paraId="125A954A" w14:textId="77777777" w:rsidR="003F0884" w:rsidRPr="000A5B81" w:rsidRDefault="003F0884" w:rsidP="008F107A">
            <w:pPr>
              <w:pStyle w:val="Betarp"/>
              <w:ind w:firstLine="851"/>
              <w:jc w:val="both"/>
              <w:rPr>
                <w:rFonts w:ascii="Times New Roman" w:hAnsi="Times New Roman" w:cs="Times New Roman"/>
                <w:b/>
                <w:bCs/>
                <w:sz w:val="24"/>
                <w:szCs w:val="24"/>
              </w:rPr>
            </w:pPr>
          </w:p>
        </w:tc>
      </w:tr>
      <w:tr w:rsidR="003F0884" w:rsidRPr="000A5B81" w14:paraId="0D5AF857" w14:textId="77777777" w:rsidTr="00E81BF5">
        <w:trPr>
          <w:trHeight w:val="557"/>
        </w:trPr>
        <w:tc>
          <w:tcPr>
            <w:tcW w:w="1264" w:type="dxa"/>
            <w:hideMark/>
          </w:tcPr>
          <w:p w14:paraId="6E931D53" w14:textId="0EF0BF91" w:rsidR="003F0884" w:rsidRPr="000A5B81" w:rsidRDefault="003F0884" w:rsidP="008F107A">
            <w:pPr>
              <w:pStyle w:val="Betarp"/>
              <w:jc w:val="both"/>
              <w:rPr>
                <w:rFonts w:ascii="Times New Roman" w:hAnsi="Times New Roman" w:cs="Times New Roman"/>
                <w:sz w:val="24"/>
                <w:szCs w:val="24"/>
              </w:rPr>
            </w:pPr>
            <w:r w:rsidRPr="000A5B81">
              <w:rPr>
                <w:rFonts w:ascii="Times New Roman" w:hAnsi="Times New Roman" w:cs="Times New Roman"/>
                <w:sz w:val="24"/>
                <w:szCs w:val="24"/>
              </w:rPr>
              <w:t>R-01-001-12-01-01-02</w:t>
            </w:r>
          </w:p>
        </w:tc>
        <w:tc>
          <w:tcPr>
            <w:tcW w:w="1972" w:type="dxa"/>
            <w:hideMark/>
          </w:tcPr>
          <w:p w14:paraId="0E3E7096" w14:textId="0C3202D6" w:rsidR="003F0884" w:rsidRPr="000A5B81" w:rsidRDefault="3D258C37" w:rsidP="00212CF3">
            <w:pPr>
              <w:pStyle w:val="Betarp"/>
              <w:spacing w:line="276" w:lineRule="auto"/>
              <w:rPr>
                <w:rFonts w:ascii="Times New Roman" w:hAnsi="Times New Roman" w:cs="Times New Roman"/>
                <w:sz w:val="24"/>
                <w:szCs w:val="24"/>
              </w:rPr>
            </w:pPr>
            <w:r w:rsidRPr="000A5B81">
              <w:rPr>
                <w:rFonts w:ascii="Times New Roman" w:hAnsi="Times New Roman" w:cs="Times New Roman"/>
                <w:color w:val="000000" w:themeColor="text1"/>
                <w:sz w:val="24"/>
                <w:szCs w:val="24"/>
              </w:rPr>
              <w:t xml:space="preserve">Pagal suteiktus įgaliojimus užtikrintas viešųjų pirkimų procedūrų atlikimas dėl joms reikalingų ginklų, ginklų priedėlių, šaudmenų </w:t>
            </w:r>
            <w:r w:rsidR="7C86DC9E" w:rsidRPr="000A5B81">
              <w:rPr>
                <w:rFonts w:ascii="Times New Roman" w:hAnsi="Times New Roman" w:cs="Times New Roman"/>
                <w:color w:val="000000" w:themeColor="text1"/>
                <w:sz w:val="24"/>
                <w:szCs w:val="24"/>
              </w:rPr>
              <w:t>j ir ų dalių</w:t>
            </w:r>
            <w:r w:rsidRPr="000A5B81">
              <w:rPr>
                <w:rFonts w:ascii="Times New Roman" w:hAnsi="Times New Roman" w:cs="Times New Roman"/>
                <w:color w:val="000000" w:themeColor="text1"/>
                <w:sz w:val="24"/>
                <w:szCs w:val="24"/>
              </w:rPr>
              <w:t xml:space="preserve"> įsigijim</w:t>
            </w:r>
            <w:r w:rsidR="00886BB7">
              <w:rPr>
                <w:rFonts w:ascii="Times New Roman" w:hAnsi="Times New Roman" w:cs="Times New Roman"/>
                <w:color w:val="000000" w:themeColor="text1"/>
                <w:sz w:val="24"/>
                <w:szCs w:val="24"/>
              </w:rPr>
              <w:t>o</w:t>
            </w:r>
          </w:p>
        </w:tc>
        <w:tc>
          <w:tcPr>
            <w:tcW w:w="2004" w:type="dxa"/>
            <w:hideMark/>
          </w:tcPr>
          <w:p w14:paraId="0CFE4188" w14:textId="77777777" w:rsidR="00A03221" w:rsidRPr="000A5B81" w:rsidRDefault="00A03221" w:rsidP="008F107A">
            <w:pPr>
              <w:pStyle w:val="Betarp"/>
              <w:jc w:val="center"/>
              <w:rPr>
                <w:rFonts w:ascii="Times New Roman" w:hAnsi="Times New Roman" w:cs="Times New Roman"/>
                <w:sz w:val="24"/>
                <w:szCs w:val="24"/>
              </w:rPr>
            </w:pPr>
          </w:p>
          <w:p w14:paraId="0C71E085" w14:textId="2B30DF96" w:rsidR="003F0884" w:rsidRPr="000A5B81" w:rsidRDefault="003F0884" w:rsidP="008F107A">
            <w:pPr>
              <w:pStyle w:val="Betarp"/>
              <w:jc w:val="center"/>
              <w:rPr>
                <w:rFonts w:ascii="Times New Roman" w:hAnsi="Times New Roman" w:cs="Times New Roman"/>
                <w:sz w:val="24"/>
                <w:szCs w:val="24"/>
              </w:rPr>
            </w:pPr>
            <w:r w:rsidRPr="000A5B81">
              <w:rPr>
                <w:rFonts w:ascii="Times New Roman" w:hAnsi="Times New Roman" w:cs="Times New Roman"/>
                <w:sz w:val="24"/>
                <w:szCs w:val="24"/>
              </w:rPr>
              <w:t>Visiškai užtikrintas</w:t>
            </w:r>
          </w:p>
        </w:tc>
        <w:tc>
          <w:tcPr>
            <w:tcW w:w="1985" w:type="dxa"/>
            <w:hideMark/>
          </w:tcPr>
          <w:p w14:paraId="4761816E" w14:textId="77777777" w:rsidR="00A03221" w:rsidRPr="000A5B81" w:rsidRDefault="00A03221" w:rsidP="008F107A">
            <w:pPr>
              <w:pStyle w:val="Betarp"/>
              <w:jc w:val="center"/>
              <w:rPr>
                <w:rFonts w:ascii="Times New Roman" w:hAnsi="Times New Roman" w:cs="Times New Roman"/>
                <w:sz w:val="24"/>
                <w:szCs w:val="24"/>
              </w:rPr>
            </w:pPr>
          </w:p>
          <w:p w14:paraId="07BF005F" w14:textId="1124AF30" w:rsidR="003F0884" w:rsidRPr="000A5B81" w:rsidRDefault="003F0884" w:rsidP="008F107A">
            <w:pPr>
              <w:pStyle w:val="Betarp"/>
              <w:jc w:val="center"/>
              <w:rPr>
                <w:rFonts w:ascii="Times New Roman" w:hAnsi="Times New Roman" w:cs="Times New Roman"/>
                <w:sz w:val="24"/>
                <w:szCs w:val="24"/>
              </w:rPr>
            </w:pPr>
            <w:r w:rsidRPr="000A5B81">
              <w:rPr>
                <w:rFonts w:ascii="Times New Roman" w:hAnsi="Times New Roman" w:cs="Times New Roman"/>
                <w:sz w:val="24"/>
                <w:szCs w:val="24"/>
              </w:rPr>
              <w:t>Visiškai užtikrintas</w:t>
            </w:r>
          </w:p>
        </w:tc>
        <w:tc>
          <w:tcPr>
            <w:tcW w:w="2551" w:type="dxa"/>
            <w:hideMark/>
          </w:tcPr>
          <w:p w14:paraId="1567FDB8" w14:textId="77777777" w:rsidR="00A03221" w:rsidRPr="000A5B81" w:rsidRDefault="00A03221" w:rsidP="008F107A">
            <w:pPr>
              <w:pStyle w:val="Betarp"/>
              <w:jc w:val="center"/>
              <w:rPr>
                <w:rFonts w:ascii="Times New Roman" w:hAnsi="Times New Roman" w:cs="Times New Roman"/>
                <w:sz w:val="24"/>
                <w:szCs w:val="24"/>
              </w:rPr>
            </w:pPr>
          </w:p>
          <w:p w14:paraId="457DFCE0" w14:textId="02AF2D42" w:rsidR="003F0884" w:rsidRPr="000A5B81" w:rsidRDefault="003F0884" w:rsidP="008F107A">
            <w:pPr>
              <w:pStyle w:val="Betarp"/>
              <w:jc w:val="center"/>
              <w:rPr>
                <w:rFonts w:ascii="Times New Roman" w:hAnsi="Times New Roman" w:cs="Times New Roman"/>
                <w:sz w:val="24"/>
                <w:szCs w:val="24"/>
              </w:rPr>
            </w:pPr>
            <w:r w:rsidRPr="000A5B81">
              <w:rPr>
                <w:rFonts w:ascii="Times New Roman" w:hAnsi="Times New Roman" w:cs="Times New Roman"/>
                <w:sz w:val="24"/>
                <w:szCs w:val="24"/>
              </w:rPr>
              <w:t>100</w:t>
            </w:r>
          </w:p>
        </w:tc>
      </w:tr>
      <w:tr w:rsidR="00874360" w:rsidRPr="000A5B81" w14:paraId="098ACEF1" w14:textId="77777777" w:rsidTr="070233B9">
        <w:trPr>
          <w:trHeight w:val="347"/>
        </w:trPr>
        <w:tc>
          <w:tcPr>
            <w:tcW w:w="9776" w:type="dxa"/>
            <w:gridSpan w:val="5"/>
            <w:shd w:val="clear" w:color="auto" w:fill="BFBFBF" w:themeFill="background1" w:themeFillShade="BF"/>
          </w:tcPr>
          <w:p w14:paraId="569E14A5" w14:textId="3EF8D6C9" w:rsidR="00874360" w:rsidRPr="000A5B81" w:rsidRDefault="00A461E9" w:rsidP="00E51C11">
            <w:pPr>
              <w:pStyle w:val="Betarp"/>
              <w:rPr>
                <w:rFonts w:ascii="Times New Roman" w:hAnsi="Times New Roman" w:cs="Times New Roman"/>
                <w:b/>
                <w:bCs/>
                <w:sz w:val="24"/>
                <w:szCs w:val="24"/>
              </w:rPr>
            </w:pPr>
            <w:r w:rsidRPr="000A5B81">
              <w:rPr>
                <w:rFonts w:ascii="Times New Roman" w:hAnsi="Times New Roman" w:cs="Times New Roman"/>
                <w:b/>
                <w:bCs/>
                <w:sz w:val="24"/>
                <w:szCs w:val="24"/>
              </w:rPr>
              <w:t>Stebėsenos rodiklio planuota reikšmė pasiekta.</w:t>
            </w:r>
          </w:p>
        </w:tc>
      </w:tr>
    </w:tbl>
    <w:p w14:paraId="4292228D" w14:textId="562ACE3C" w:rsidR="00EE3319" w:rsidRPr="008128BA" w:rsidRDefault="004B476F" w:rsidP="092ADAC3">
      <w:pPr>
        <w:widowControl w:val="0"/>
        <w:spacing w:line="240" w:lineRule="auto"/>
        <w:ind w:firstLine="851"/>
        <w:jc w:val="center"/>
        <w:rPr>
          <w:rFonts w:ascii="Times New Roman" w:eastAsiaTheme="minorEastAsia" w:hAnsi="Times New Roman" w:cs="Times New Roman"/>
          <w:b/>
          <w:bCs/>
        </w:rPr>
      </w:pPr>
      <w:r>
        <w:rPr>
          <w:rFonts w:ascii="Times New Roman" w:eastAsiaTheme="minorEastAsia" w:hAnsi="Times New Roman" w:cs="Times New Roman"/>
          <w:b/>
          <w:bCs/>
        </w:rPr>
        <w:t>__________</w:t>
      </w:r>
      <w:r w:rsidR="00EE3319" w:rsidRPr="092ADAC3">
        <w:rPr>
          <w:rFonts w:ascii="Times New Roman" w:eastAsiaTheme="minorEastAsia" w:hAnsi="Times New Roman" w:cs="Times New Roman"/>
          <w:b/>
          <w:bCs/>
        </w:rPr>
        <w:t>___________</w:t>
      </w:r>
    </w:p>
    <w:sectPr w:rsidR="00EE3319" w:rsidRPr="008128BA" w:rsidSect="002819F2">
      <w:headerReference w:type="default" r:id="rId22"/>
      <w:headerReference w:type="first" r:id="rId23"/>
      <w:footerReference w:type="first" r:id="rId24"/>
      <w:pgSz w:w="11906" w:h="16838"/>
      <w:pgMar w:top="1440" w:right="567" w:bottom="1440"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99E8" w14:textId="77777777" w:rsidR="005F6FCB" w:rsidRDefault="005F6FCB" w:rsidP="00C664DD">
      <w:pPr>
        <w:spacing w:line="240" w:lineRule="auto"/>
      </w:pPr>
      <w:r>
        <w:separator/>
      </w:r>
    </w:p>
  </w:endnote>
  <w:endnote w:type="continuationSeparator" w:id="0">
    <w:p w14:paraId="778AFBC0" w14:textId="77777777" w:rsidR="005F6FCB" w:rsidRDefault="005F6FCB" w:rsidP="00C664DD">
      <w:pPr>
        <w:spacing w:line="240" w:lineRule="auto"/>
      </w:pPr>
      <w:r>
        <w:continuationSeparator/>
      </w:r>
    </w:p>
  </w:endnote>
  <w:endnote w:type="continuationNotice" w:id="1">
    <w:p w14:paraId="6538B25B" w14:textId="77777777" w:rsidR="005F6FCB" w:rsidRDefault="005F6F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92266"/>
      <w:docPartObj>
        <w:docPartGallery w:val="Page Numbers (Bottom of Page)"/>
        <w:docPartUnique/>
      </w:docPartObj>
    </w:sdtPr>
    <w:sdtEndPr>
      <w:rPr>
        <w:rFonts w:ascii="Times New Roman" w:hAnsi="Times New Roman" w:cs="Times New Roman"/>
      </w:rPr>
    </w:sdtEndPr>
    <w:sdtContent>
      <w:p w14:paraId="721F6090" w14:textId="4C89AEF1" w:rsidR="0007617D" w:rsidRPr="005F380F" w:rsidRDefault="0007617D">
        <w:pPr>
          <w:pStyle w:val="Porat"/>
          <w:jc w:val="right"/>
          <w:rPr>
            <w:rFonts w:ascii="Times New Roman" w:hAnsi="Times New Roman" w:cs="Times New Roman"/>
          </w:rPr>
        </w:pPr>
        <w:r w:rsidRPr="092ADAC3">
          <w:rPr>
            <w:rFonts w:ascii="Times New Roman" w:hAnsi="Times New Roman" w:cs="Times New Roman"/>
          </w:rPr>
          <w:fldChar w:fldCharType="begin"/>
        </w:r>
        <w:r w:rsidRPr="092ADAC3">
          <w:rPr>
            <w:rFonts w:ascii="Times New Roman" w:hAnsi="Times New Roman" w:cs="Times New Roman"/>
          </w:rPr>
          <w:instrText>PAGE   \* MERGEFORMAT</w:instrText>
        </w:r>
        <w:r w:rsidRPr="092ADAC3">
          <w:rPr>
            <w:rFonts w:ascii="Times New Roman" w:hAnsi="Times New Roman" w:cs="Times New Roman"/>
          </w:rPr>
          <w:fldChar w:fldCharType="separate"/>
        </w:r>
        <w:r w:rsidR="092ADAC3" w:rsidRPr="092ADAC3">
          <w:rPr>
            <w:rFonts w:ascii="Times New Roman" w:hAnsi="Times New Roman" w:cs="Times New Roman"/>
          </w:rPr>
          <w:t>16</w:t>
        </w:r>
        <w:r w:rsidRPr="092ADAC3">
          <w:rPr>
            <w:rFonts w:ascii="Times New Roman" w:hAnsi="Times New Roman" w:cs="Times New Roman"/>
          </w:rPr>
          <w:fldChar w:fldCharType="end"/>
        </w:r>
      </w:p>
    </w:sdtContent>
  </w:sdt>
  <w:p w14:paraId="38C86BD3" w14:textId="77777777" w:rsidR="0007617D" w:rsidRDefault="000761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92ADAC3" w14:paraId="7C3927DB" w14:textId="77777777" w:rsidTr="007A74E2">
      <w:trPr>
        <w:trHeight w:val="300"/>
      </w:trPr>
      <w:tc>
        <w:tcPr>
          <w:tcW w:w="3210" w:type="dxa"/>
        </w:tcPr>
        <w:p w14:paraId="6E4B7F0A" w14:textId="5D7DA49E" w:rsidR="092ADAC3" w:rsidRDefault="092ADAC3" w:rsidP="007A74E2">
          <w:pPr>
            <w:pStyle w:val="Antrats"/>
            <w:ind w:left="-115"/>
          </w:pPr>
        </w:p>
      </w:tc>
      <w:tc>
        <w:tcPr>
          <w:tcW w:w="3210" w:type="dxa"/>
        </w:tcPr>
        <w:p w14:paraId="7A9D4A85" w14:textId="3ED44B43" w:rsidR="092ADAC3" w:rsidRDefault="092ADAC3" w:rsidP="007A74E2">
          <w:pPr>
            <w:pStyle w:val="Antrats"/>
            <w:jc w:val="center"/>
          </w:pPr>
        </w:p>
      </w:tc>
      <w:tc>
        <w:tcPr>
          <w:tcW w:w="3210" w:type="dxa"/>
        </w:tcPr>
        <w:p w14:paraId="5939BEF6" w14:textId="1F6C31B7" w:rsidR="092ADAC3" w:rsidRDefault="092ADAC3" w:rsidP="007A74E2">
          <w:pPr>
            <w:pStyle w:val="Antrats"/>
            <w:ind w:right="-115"/>
            <w:jc w:val="right"/>
          </w:pPr>
        </w:p>
      </w:tc>
    </w:tr>
  </w:tbl>
  <w:p w14:paraId="5D7245DD" w14:textId="30102882" w:rsidR="092ADAC3" w:rsidRDefault="092ADAC3" w:rsidP="007A74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92ADAC3" w14:paraId="7A0DCC74" w14:textId="77777777" w:rsidTr="007A74E2">
      <w:trPr>
        <w:trHeight w:val="300"/>
      </w:trPr>
      <w:tc>
        <w:tcPr>
          <w:tcW w:w="4650" w:type="dxa"/>
        </w:tcPr>
        <w:p w14:paraId="3B9CBD1B" w14:textId="25C848C9" w:rsidR="092ADAC3" w:rsidRDefault="092ADAC3" w:rsidP="007A74E2">
          <w:pPr>
            <w:pStyle w:val="Antrats"/>
            <w:ind w:left="-115"/>
          </w:pPr>
        </w:p>
      </w:tc>
      <w:tc>
        <w:tcPr>
          <w:tcW w:w="4650" w:type="dxa"/>
        </w:tcPr>
        <w:p w14:paraId="3DAE3074" w14:textId="0290833B" w:rsidR="092ADAC3" w:rsidRDefault="092ADAC3" w:rsidP="007A74E2">
          <w:pPr>
            <w:pStyle w:val="Antrats"/>
            <w:jc w:val="center"/>
          </w:pPr>
        </w:p>
      </w:tc>
      <w:tc>
        <w:tcPr>
          <w:tcW w:w="4650" w:type="dxa"/>
        </w:tcPr>
        <w:p w14:paraId="5DEF35E1" w14:textId="47A0A36B" w:rsidR="092ADAC3" w:rsidRDefault="092ADAC3" w:rsidP="007A74E2">
          <w:pPr>
            <w:pStyle w:val="Antrats"/>
            <w:ind w:right="-115"/>
            <w:jc w:val="right"/>
          </w:pPr>
        </w:p>
      </w:tc>
    </w:tr>
  </w:tbl>
  <w:p w14:paraId="44232201" w14:textId="49B461DF" w:rsidR="092ADAC3" w:rsidRDefault="007D4B91" w:rsidP="007D4B91">
    <w:pPr>
      <w:pStyle w:val="Porat"/>
      <w:jc w:val="right"/>
    </w:pPr>
    <w: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92ADAC3" w14:paraId="605FD379" w14:textId="77777777" w:rsidTr="007A74E2">
      <w:trPr>
        <w:trHeight w:val="300"/>
      </w:trPr>
      <w:tc>
        <w:tcPr>
          <w:tcW w:w="3210" w:type="dxa"/>
        </w:tcPr>
        <w:p w14:paraId="59C07F86" w14:textId="72873E96" w:rsidR="092ADAC3" w:rsidRDefault="092ADAC3" w:rsidP="007A74E2">
          <w:pPr>
            <w:pStyle w:val="Antrats"/>
            <w:ind w:left="-115"/>
          </w:pPr>
        </w:p>
      </w:tc>
      <w:tc>
        <w:tcPr>
          <w:tcW w:w="3210" w:type="dxa"/>
        </w:tcPr>
        <w:p w14:paraId="1C675838" w14:textId="3EF950A1" w:rsidR="092ADAC3" w:rsidRDefault="092ADAC3" w:rsidP="007A74E2">
          <w:pPr>
            <w:pStyle w:val="Antrats"/>
            <w:jc w:val="center"/>
          </w:pPr>
        </w:p>
      </w:tc>
      <w:tc>
        <w:tcPr>
          <w:tcW w:w="3210" w:type="dxa"/>
        </w:tcPr>
        <w:p w14:paraId="1853ED8B" w14:textId="0C94A8EF" w:rsidR="092ADAC3" w:rsidRDefault="092ADAC3" w:rsidP="007A74E2">
          <w:pPr>
            <w:pStyle w:val="Antrats"/>
            <w:ind w:right="-115"/>
            <w:jc w:val="right"/>
          </w:pPr>
        </w:p>
      </w:tc>
    </w:tr>
  </w:tbl>
  <w:p w14:paraId="70B70FDB" w14:textId="639F46B4" w:rsidR="092ADAC3" w:rsidRDefault="00A46B54" w:rsidP="00A46B54">
    <w:pPr>
      <w:pStyle w:val="Porat"/>
      <w:jc w:val="right"/>
    </w:pPr>
    <w: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52A7" w14:textId="77777777" w:rsidR="005F6FCB" w:rsidRDefault="005F6FCB" w:rsidP="00C664DD">
      <w:pPr>
        <w:spacing w:line="240" w:lineRule="auto"/>
      </w:pPr>
      <w:r>
        <w:separator/>
      </w:r>
    </w:p>
  </w:footnote>
  <w:footnote w:type="continuationSeparator" w:id="0">
    <w:p w14:paraId="3D8AC42E" w14:textId="77777777" w:rsidR="005F6FCB" w:rsidRDefault="005F6FCB" w:rsidP="00C664DD">
      <w:pPr>
        <w:spacing w:line="240" w:lineRule="auto"/>
      </w:pPr>
      <w:r>
        <w:continuationSeparator/>
      </w:r>
    </w:p>
  </w:footnote>
  <w:footnote w:type="continuationNotice" w:id="1">
    <w:p w14:paraId="61940C99" w14:textId="77777777" w:rsidR="005F6FCB" w:rsidRDefault="005F6FCB">
      <w:pPr>
        <w:spacing w:line="240" w:lineRule="auto"/>
      </w:pPr>
    </w:p>
  </w:footnote>
  <w:footnote w:id="2">
    <w:p w14:paraId="29538B1F" w14:textId="022E1720" w:rsidR="002A1416" w:rsidRDefault="002A1416">
      <w:pPr>
        <w:pStyle w:val="Puslapioinaostekstas"/>
      </w:pPr>
      <w:r>
        <w:rPr>
          <w:rStyle w:val="Puslapioinaosnuoroda"/>
        </w:rPr>
        <w:footnoteRef/>
      </w:r>
      <w:r>
        <w:t xml:space="preserve"> </w:t>
      </w:r>
      <w:r w:rsidRPr="00CF1B73">
        <w:rPr>
          <w:rFonts w:ascii="Arial Nova" w:hAnsi="Arial Nova"/>
          <w:sz w:val="16"/>
          <w:szCs w:val="16"/>
        </w:rPr>
        <w:t>Rodiklis apskaičiuojamas kas dvejus metus</w:t>
      </w:r>
    </w:p>
  </w:footnote>
  <w:footnote w:id="3">
    <w:p w14:paraId="018BD660" w14:textId="5AC25294" w:rsidR="00C340B6" w:rsidRPr="00C340B6" w:rsidRDefault="00C340B6" w:rsidP="00C340B6">
      <w:pPr>
        <w:pStyle w:val="Betarp"/>
        <w:rPr>
          <w:rFonts w:ascii="Times New Roman" w:hAnsi="Times New Roman" w:cs="Times New Roman"/>
          <w:sz w:val="18"/>
          <w:szCs w:val="18"/>
        </w:rPr>
      </w:pPr>
      <w:r>
        <w:rPr>
          <w:rStyle w:val="Puslapioinaosnuoroda"/>
        </w:rPr>
        <w:footnoteRef/>
      </w:r>
      <w:r>
        <w:t xml:space="preserve"> </w:t>
      </w:r>
      <w:r w:rsidRPr="00C340B6">
        <w:rPr>
          <w:rFonts w:ascii="Times New Roman" w:hAnsi="Times New Roman" w:cs="Times New Roman"/>
          <w:b/>
          <w:sz w:val="18"/>
          <w:szCs w:val="18"/>
          <w:shd w:val="clear" w:color="auto" w:fill="E2EFD9" w:themeFill="accent6" w:themeFillTint="33"/>
        </w:rPr>
        <w:t>Šia spalva</w:t>
      </w:r>
      <w:r w:rsidRPr="00C340B6">
        <w:rPr>
          <w:rFonts w:ascii="Times New Roman" w:hAnsi="Times New Roman" w:cs="Times New Roman"/>
          <w:sz w:val="18"/>
          <w:szCs w:val="18"/>
        </w:rPr>
        <w:t xml:space="preserve"> pažymėti viešieji prikimai, atitinkantys žaliųjų pirkimų reikalavimus.</w:t>
      </w:r>
    </w:p>
  </w:footnote>
  <w:footnote w:id="4">
    <w:p w14:paraId="15D7FD0D" w14:textId="5A9E67C5" w:rsidR="00C340B6" w:rsidRPr="00C340B6" w:rsidRDefault="00C340B6" w:rsidP="00C340B6">
      <w:pPr>
        <w:pStyle w:val="Betarp"/>
        <w:rPr>
          <w:rFonts w:ascii="Times New Roman" w:hAnsi="Times New Roman" w:cs="Times New Roman"/>
          <w:sz w:val="18"/>
          <w:szCs w:val="18"/>
        </w:rPr>
      </w:pPr>
      <w:r w:rsidRPr="00C340B6">
        <w:rPr>
          <w:rStyle w:val="Puslapioinaosnuoroda"/>
          <w:rFonts w:ascii="Times New Roman" w:hAnsi="Times New Roman" w:cs="Times New Roman"/>
          <w:sz w:val="18"/>
          <w:szCs w:val="18"/>
        </w:rPr>
        <w:footnoteRef/>
      </w:r>
      <w:r w:rsidRPr="00C340B6">
        <w:rPr>
          <w:rFonts w:ascii="Times New Roman" w:hAnsi="Times New Roman" w:cs="Times New Roman"/>
          <w:sz w:val="18"/>
          <w:szCs w:val="18"/>
        </w:rPr>
        <w:t xml:space="preserve"> Rodiklis įgyvendinamas vadovaujantis Lietuvos Respublikos  Vyriausybės 2021-06-21 nutarimu Nr. 478 „Dėl žaliųjų pirkimų tikslų nustatymo ir įgyvendinimo“</w:t>
      </w:r>
      <w:r>
        <w:rPr>
          <w:rFonts w:ascii="Times New Roman" w:hAnsi="Times New Roman" w:cs="Times New Roman"/>
          <w:sz w:val="18"/>
          <w:szCs w:val="18"/>
        </w:rPr>
        <w:t>.</w:t>
      </w:r>
    </w:p>
    <w:p w14:paraId="11EFAE61" w14:textId="1A1397D1" w:rsidR="00C340B6" w:rsidRPr="00C340B6" w:rsidRDefault="00C340B6" w:rsidP="00C340B6">
      <w:pPr>
        <w:pStyle w:val="Betarp"/>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92ADAC3" w14:paraId="12528EB6" w14:textId="77777777" w:rsidTr="007A74E2">
      <w:trPr>
        <w:trHeight w:val="300"/>
      </w:trPr>
      <w:tc>
        <w:tcPr>
          <w:tcW w:w="3210" w:type="dxa"/>
        </w:tcPr>
        <w:p w14:paraId="3E148AF2" w14:textId="682CCE89" w:rsidR="092ADAC3" w:rsidRDefault="092ADAC3" w:rsidP="007A74E2">
          <w:pPr>
            <w:pStyle w:val="Antrats"/>
            <w:ind w:left="-115"/>
          </w:pPr>
        </w:p>
      </w:tc>
      <w:tc>
        <w:tcPr>
          <w:tcW w:w="3210" w:type="dxa"/>
        </w:tcPr>
        <w:p w14:paraId="5F927662" w14:textId="3EAF7CD0" w:rsidR="092ADAC3" w:rsidRDefault="092ADAC3" w:rsidP="007A74E2">
          <w:pPr>
            <w:pStyle w:val="Antrats"/>
            <w:jc w:val="center"/>
          </w:pPr>
        </w:p>
      </w:tc>
      <w:tc>
        <w:tcPr>
          <w:tcW w:w="3210" w:type="dxa"/>
        </w:tcPr>
        <w:p w14:paraId="097DA48A" w14:textId="2A5484A4" w:rsidR="092ADAC3" w:rsidRDefault="092ADAC3" w:rsidP="007A74E2">
          <w:pPr>
            <w:pStyle w:val="Antrats"/>
            <w:ind w:right="-115"/>
            <w:jc w:val="right"/>
          </w:pPr>
        </w:p>
      </w:tc>
    </w:tr>
  </w:tbl>
  <w:p w14:paraId="59EEC0E8" w14:textId="148C039B" w:rsidR="092ADAC3" w:rsidRDefault="092ADAC3" w:rsidP="007A74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92ADAC3" w14:paraId="358D97E9" w14:textId="77777777" w:rsidTr="007A74E2">
      <w:trPr>
        <w:trHeight w:val="300"/>
      </w:trPr>
      <w:tc>
        <w:tcPr>
          <w:tcW w:w="3210" w:type="dxa"/>
        </w:tcPr>
        <w:p w14:paraId="6F9E831E" w14:textId="1C07E08C" w:rsidR="092ADAC3" w:rsidRDefault="092ADAC3" w:rsidP="007A74E2">
          <w:pPr>
            <w:pStyle w:val="Antrats"/>
            <w:ind w:left="-115"/>
          </w:pPr>
        </w:p>
      </w:tc>
      <w:tc>
        <w:tcPr>
          <w:tcW w:w="3210" w:type="dxa"/>
        </w:tcPr>
        <w:p w14:paraId="4CF55583" w14:textId="16713898" w:rsidR="092ADAC3" w:rsidRDefault="092ADAC3" w:rsidP="007A74E2">
          <w:pPr>
            <w:pStyle w:val="Antrats"/>
            <w:jc w:val="center"/>
          </w:pPr>
        </w:p>
      </w:tc>
      <w:tc>
        <w:tcPr>
          <w:tcW w:w="3210" w:type="dxa"/>
        </w:tcPr>
        <w:p w14:paraId="7D6DDF83" w14:textId="3C7B14D7" w:rsidR="092ADAC3" w:rsidRDefault="092ADAC3" w:rsidP="007A74E2">
          <w:pPr>
            <w:pStyle w:val="Antrats"/>
            <w:ind w:right="-115"/>
            <w:jc w:val="right"/>
          </w:pPr>
        </w:p>
      </w:tc>
    </w:tr>
  </w:tbl>
  <w:p w14:paraId="050CF07F" w14:textId="06AFA40C" w:rsidR="092ADAC3" w:rsidRDefault="092ADAC3" w:rsidP="007A74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92ADAC3" w14:paraId="64022B53" w14:textId="77777777" w:rsidTr="007A74E2">
      <w:trPr>
        <w:trHeight w:val="300"/>
      </w:trPr>
      <w:tc>
        <w:tcPr>
          <w:tcW w:w="4650" w:type="dxa"/>
        </w:tcPr>
        <w:p w14:paraId="5C9D558C" w14:textId="122EFF56" w:rsidR="092ADAC3" w:rsidRDefault="092ADAC3" w:rsidP="007A74E2">
          <w:pPr>
            <w:pStyle w:val="Antrats"/>
            <w:ind w:left="-115"/>
          </w:pPr>
        </w:p>
      </w:tc>
      <w:tc>
        <w:tcPr>
          <w:tcW w:w="4650" w:type="dxa"/>
        </w:tcPr>
        <w:p w14:paraId="1301BC88" w14:textId="5334DD06" w:rsidR="092ADAC3" w:rsidRDefault="092ADAC3" w:rsidP="007A74E2">
          <w:pPr>
            <w:pStyle w:val="Antrats"/>
            <w:jc w:val="center"/>
          </w:pPr>
        </w:p>
      </w:tc>
      <w:tc>
        <w:tcPr>
          <w:tcW w:w="4650" w:type="dxa"/>
        </w:tcPr>
        <w:p w14:paraId="63B22209" w14:textId="2EFECDF4" w:rsidR="092ADAC3" w:rsidRDefault="092ADAC3" w:rsidP="007A74E2">
          <w:pPr>
            <w:pStyle w:val="Antrats"/>
            <w:ind w:right="-115"/>
            <w:jc w:val="right"/>
          </w:pPr>
        </w:p>
      </w:tc>
    </w:tr>
  </w:tbl>
  <w:p w14:paraId="3D3C3767" w14:textId="28A79C6A" w:rsidR="092ADAC3" w:rsidRDefault="092ADAC3" w:rsidP="007A74E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92ADAC3" w14:paraId="4A6CCD05" w14:textId="77777777" w:rsidTr="007A74E2">
      <w:trPr>
        <w:trHeight w:val="300"/>
      </w:trPr>
      <w:tc>
        <w:tcPr>
          <w:tcW w:w="4650" w:type="dxa"/>
        </w:tcPr>
        <w:p w14:paraId="01D03658" w14:textId="5F4E402A" w:rsidR="092ADAC3" w:rsidRDefault="092ADAC3" w:rsidP="007A74E2">
          <w:pPr>
            <w:pStyle w:val="Antrats"/>
            <w:ind w:left="-115"/>
          </w:pPr>
        </w:p>
      </w:tc>
      <w:tc>
        <w:tcPr>
          <w:tcW w:w="4650" w:type="dxa"/>
        </w:tcPr>
        <w:p w14:paraId="61F8B944" w14:textId="2832C2AD" w:rsidR="092ADAC3" w:rsidRDefault="092ADAC3" w:rsidP="007A74E2">
          <w:pPr>
            <w:pStyle w:val="Antrats"/>
            <w:jc w:val="center"/>
          </w:pPr>
        </w:p>
      </w:tc>
      <w:tc>
        <w:tcPr>
          <w:tcW w:w="4650" w:type="dxa"/>
        </w:tcPr>
        <w:p w14:paraId="774B92CF" w14:textId="07CC2991" w:rsidR="092ADAC3" w:rsidRDefault="092ADAC3" w:rsidP="007A74E2">
          <w:pPr>
            <w:pStyle w:val="Antrats"/>
            <w:ind w:right="-115"/>
            <w:jc w:val="right"/>
          </w:pPr>
        </w:p>
      </w:tc>
    </w:tr>
  </w:tbl>
  <w:p w14:paraId="10099FFB" w14:textId="0C78A290" w:rsidR="092ADAC3" w:rsidRDefault="092ADAC3" w:rsidP="007A74E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92ADAC3" w14:paraId="6CEB34C1" w14:textId="77777777" w:rsidTr="007A74E2">
      <w:trPr>
        <w:trHeight w:val="300"/>
      </w:trPr>
      <w:tc>
        <w:tcPr>
          <w:tcW w:w="3210" w:type="dxa"/>
        </w:tcPr>
        <w:p w14:paraId="4D4FBBE1" w14:textId="48CDB2D3" w:rsidR="092ADAC3" w:rsidRDefault="092ADAC3" w:rsidP="007A74E2">
          <w:pPr>
            <w:pStyle w:val="Antrats"/>
            <w:ind w:left="-115"/>
          </w:pPr>
        </w:p>
      </w:tc>
      <w:tc>
        <w:tcPr>
          <w:tcW w:w="3210" w:type="dxa"/>
        </w:tcPr>
        <w:p w14:paraId="01F5AD65" w14:textId="2AC4B3A0" w:rsidR="092ADAC3" w:rsidRDefault="092ADAC3" w:rsidP="007A74E2">
          <w:pPr>
            <w:pStyle w:val="Antrats"/>
            <w:jc w:val="center"/>
          </w:pPr>
        </w:p>
      </w:tc>
      <w:tc>
        <w:tcPr>
          <w:tcW w:w="3210" w:type="dxa"/>
        </w:tcPr>
        <w:p w14:paraId="2CE41302" w14:textId="2051A715" w:rsidR="092ADAC3" w:rsidRDefault="092ADAC3" w:rsidP="007A74E2">
          <w:pPr>
            <w:pStyle w:val="Antrats"/>
            <w:ind w:right="-115"/>
            <w:jc w:val="right"/>
          </w:pPr>
        </w:p>
      </w:tc>
    </w:tr>
  </w:tbl>
  <w:p w14:paraId="513E3009" w14:textId="22AEC80D" w:rsidR="092ADAC3" w:rsidRDefault="092ADAC3" w:rsidP="007A74E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92ADAC3" w14:paraId="6AA4E158" w14:textId="77777777" w:rsidTr="007A74E2">
      <w:trPr>
        <w:trHeight w:val="300"/>
      </w:trPr>
      <w:tc>
        <w:tcPr>
          <w:tcW w:w="3210" w:type="dxa"/>
        </w:tcPr>
        <w:p w14:paraId="6B0781CB" w14:textId="55F6ABA8" w:rsidR="092ADAC3" w:rsidRDefault="092ADAC3" w:rsidP="007A74E2">
          <w:pPr>
            <w:pStyle w:val="Antrats"/>
            <w:ind w:left="-115"/>
          </w:pPr>
        </w:p>
      </w:tc>
      <w:tc>
        <w:tcPr>
          <w:tcW w:w="3210" w:type="dxa"/>
        </w:tcPr>
        <w:p w14:paraId="19898A19" w14:textId="3BE035C5" w:rsidR="092ADAC3" w:rsidRDefault="092ADAC3" w:rsidP="007A74E2">
          <w:pPr>
            <w:pStyle w:val="Antrats"/>
            <w:jc w:val="center"/>
          </w:pPr>
        </w:p>
      </w:tc>
      <w:tc>
        <w:tcPr>
          <w:tcW w:w="3210" w:type="dxa"/>
        </w:tcPr>
        <w:p w14:paraId="27DC4AE8" w14:textId="5374A236" w:rsidR="092ADAC3" w:rsidRDefault="092ADAC3" w:rsidP="007A74E2">
          <w:pPr>
            <w:pStyle w:val="Antrats"/>
            <w:ind w:right="-115"/>
            <w:jc w:val="right"/>
          </w:pPr>
        </w:p>
      </w:tc>
    </w:tr>
  </w:tbl>
  <w:p w14:paraId="474B9190" w14:textId="2600D465" w:rsidR="092ADAC3" w:rsidRDefault="092ADAC3" w:rsidP="007A74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F5F23"/>
    <w:multiLevelType w:val="hybridMultilevel"/>
    <w:tmpl w:val="DE54F3FE"/>
    <w:lvl w:ilvl="0" w:tplc="F7F86696">
      <w:start w:val="1"/>
      <w:numFmt w:val="bullet"/>
      <w:lvlText w:val="·"/>
      <w:lvlJc w:val="left"/>
      <w:pPr>
        <w:ind w:left="720" w:hanging="360"/>
      </w:pPr>
      <w:rPr>
        <w:rFonts w:ascii="Symbol" w:hAnsi="Symbol" w:hint="default"/>
      </w:rPr>
    </w:lvl>
    <w:lvl w:ilvl="1" w:tplc="19A8C1C2">
      <w:start w:val="1"/>
      <w:numFmt w:val="bullet"/>
      <w:lvlText w:val="o"/>
      <w:lvlJc w:val="left"/>
      <w:pPr>
        <w:ind w:left="1440" w:hanging="360"/>
      </w:pPr>
      <w:rPr>
        <w:rFonts w:ascii="Courier New" w:hAnsi="Courier New" w:hint="default"/>
      </w:rPr>
    </w:lvl>
    <w:lvl w:ilvl="2" w:tplc="D90A064A">
      <w:start w:val="1"/>
      <w:numFmt w:val="bullet"/>
      <w:lvlText w:val=""/>
      <w:lvlJc w:val="left"/>
      <w:pPr>
        <w:ind w:left="2160" w:hanging="360"/>
      </w:pPr>
      <w:rPr>
        <w:rFonts w:ascii="Wingdings" w:hAnsi="Wingdings" w:hint="default"/>
      </w:rPr>
    </w:lvl>
    <w:lvl w:ilvl="3" w:tplc="BC140092">
      <w:start w:val="1"/>
      <w:numFmt w:val="bullet"/>
      <w:lvlText w:val=""/>
      <w:lvlJc w:val="left"/>
      <w:pPr>
        <w:ind w:left="2880" w:hanging="360"/>
      </w:pPr>
      <w:rPr>
        <w:rFonts w:ascii="Symbol" w:hAnsi="Symbol" w:hint="default"/>
      </w:rPr>
    </w:lvl>
    <w:lvl w:ilvl="4" w:tplc="515208C0">
      <w:start w:val="1"/>
      <w:numFmt w:val="bullet"/>
      <w:lvlText w:val="o"/>
      <w:lvlJc w:val="left"/>
      <w:pPr>
        <w:ind w:left="3600" w:hanging="360"/>
      </w:pPr>
      <w:rPr>
        <w:rFonts w:ascii="Courier New" w:hAnsi="Courier New" w:hint="default"/>
      </w:rPr>
    </w:lvl>
    <w:lvl w:ilvl="5" w:tplc="26E6B612">
      <w:start w:val="1"/>
      <w:numFmt w:val="bullet"/>
      <w:lvlText w:val=""/>
      <w:lvlJc w:val="left"/>
      <w:pPr>
        <w:ind w:left="4320" w:hanging="360"/>
      </w:pPr>
      <w:rPr>
        <w:rFonts w:ascii="Wingdings" w:hAnsi="Wingdings" w:hint="default"/>
      </w:rPr>
    </w:lvl>
    <w:lvl w:ilvl="6" w:tplc="4E22F036">
      <w:start w:val="1"/>
      <w:numFmt w:val="bullet"/>
      <w:lvlText w:val=""/>
      <w:lvlJc w:val="left"/>
      <w:pPr>
        <w:ind w:left="5040" w:hanging="360"/>
      </w:pPr>
      <w:rPr>
        <w:rFonts w:ascii="Symbol" w:hAnsi="Symbol" w:hint="default"/>
      </w:rPr>
    </w:lvl>
    <w:lvl w:ilvl="7" w:tplc="D9CE61F8">
      <w:start w:val="1"/>
      <w:numFmt w:val="bullet"/>
      <w:lvlText w:val="o"/>
      <w:lvlJc w:val="left"/>
      <w:pPr>
        <w:ind w:left="5760" w:hanging="360"/>
      </w:pPr>
      <w:rPr>
        <w:rFonts w:ascii="Courier New" w:hAnsi="Courier New" w:hint="default"/>
      </w:rPr>
    </w:lvl>
    <w:lvl w:ilvl="8" w:tplc="FBA81BEC">
      <w:start w:val="1"/>
      <w:numFmt w:val="bullet"/>
      <w:lvlText w:val=""/>
      <w:lvlJc w:val="left"/>
      <w:pPr>
        <w:ind w:left="6480" w:hanging="360"/>
      </w:pPr>
      <w:rPr>
        <w:rFonts w:ascii="Wingdings" w:hAnsi="Wingdings" w:hint="default"/>
      </w:rPr>
    </w:lvl>
  </w:abstractNum>
  <w:abstractNum w:abstractNumId="1" w15:restartNumberingAfterBreak="0">
    <w:nsid w:val="6395AB86"/>
    <w:multiLevelType w:val="hybridMultilevel"/>
    <w:tmpl w:val="897CDC10"/>
    <w:lvl w:ilvl="0" w:tplc="CD6EABC0">
      <w:start w:val="1"/>
      <w:numFmt w:val="bullet"/>
      <w:lvlText w:val="·"/>
      <w:lvlJc w:val="left"/>
      <w:pPr>
        <w:ind w:left="720" w:hanging="360"/>
      </w:pPr>
      <w:rPr>
        <w:rFonts w:ascii="Symbol" w:hAnsi="Symbol" w:hint="default"/>
      </w:rPr>
    </w:lvl>
    <w:lvl w:ilvl="1" w:tplc="6C50B6EC">
      <w:start w:val="1"/>
      <w:numFmt w:val="bullet"/>
      <w:lvlText w:val="o"/>
      <w:lvlJc w:val="left"/>
      <w:pPr>
        <w:ind w:left="1440" w:hanging="360"/>
      </w:pPr>
      <w:rPr>
        <w:rFonts w:ascii="Courier New" w:hAnsi="Courier New" w:hint="default"/>
      </w:rPr>
    </w:lvl>
    <w:lvl w:ilvl="2" w:tplc="1ECE1934">
      <w:start w:val="1"/>
      <w:numFmt w:val="bullet"/>
      <w:lvlText w:val=""/>
      <w:lvlJc w:val="left"/>
      <w:pPr>
        <w:ind w:left="2160" w:hanging="360"/>
      </w:pPr>
      <w:rPr>
        <w:rFonts w:ascii="Wingdings" w:hAnsi="Wingdings" w:hint="default"/>
      </w:rPr>
    </w:lvl>
    <w:lvl w:ilvl="3" w:tplc="591031FC">
      <w:start w:val="1"/>
      <w:numFmt w:val="bullet"/>
      <w:lvlText w:val=""/>
      <w:lvlJc w:val="left"/>
      <w:pPr>
        <w:ind w:left="2880" w:hanging="360"/>
      </w:pPr>
      <w:rPr>
        <w:rFonts w:ascii="Symbol" w:hAnsi="Symbol" w:hint="default"/>
      </w:rPr>
    </w:lvl>
    <w:lvl w:ilvl="4" w:tplc="E1D2C66A">
      <w:start w:val="1"/>
      <w:numFmt w:val="bullet"/>
      <w:lvlText w:val="o"/>
      <w:lvlJc w:val="left"/>
      <w:pPr>
        <w:ind w:left="3600" w:hanging="360"/>
      </w:pPr>
      <w:rPr>
        <w:rFonts w:ascii="Courier New" w:hAnsi="Courier New" w:hint="default"/>
      </w:rPr>
    </w:lvl>
    <w:lvl w:ilvl="5" w:tplc="610446B4">
      <w:start w:val="1"/>
      <w:numFmt w:val="bullet"/>
      <w:lvlText w:val=""/>
      <w:lvlJc w:val="left"/>
      <w:pPr>
        <w:ind w:left="4320" w:hanging="360"/>
      </w:pPr>
      <w:rPr>
        <w:rFonts w:ascii="Wingdings" w:hAnsi="Wingdings" w:hint="default"/>
      </w:rPr>
    </w:lvl>
    <w:lvl w:ilvl="6" w:tplc="B756F9DA">
      <w:start w:val="1"/>
      <w:numFmt w:val="bullet"/>
      <w:lvlText w:val=""/>
      <w:lvlJc w:val="left"/>
      <w:pPr>
        <w:ind w:left="5040" w:hanging="360"/>
      </w:pPr>
      <w:rPr>
        <w:rFonts w:ascii="Symbol" w:hAnsi="Symbol" w:hint="default"/>
      </w:rPr>
    </w:lvl>
    <w:lvl w:ilvl="7" w:tplc="DB8890A4">
      <w:start w:val="1"/>
      <w:numFmt w:val="bullet"/>
      <w:lvlText w:val="o"/>
      <w:lvlJc w:val="left"/>
      <w:pPr>
        <w:ind w:left="5760" w:hanging="360"/>
      </w:pPr>
      <w:rPr>
        <w:rFonts w:ascii="Courier New" w:hAnsi="Courier New" w:hint="default"/>
      </w:rPr>
    </w:lvl>
    <w:lvl w:ilvl="8" w:tplc="5B007E6E">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DD"/>
    <w:rsid w:val="000013EB"/>
    <w:rsid w:val="00005407"/>
    <w:rsid w:val="000112D2"/>
    <w:rsid w:val="00014406"/>
    <w:rsid w:val="00021708"/>
    <w:rsid w:val="00023908"/>
    <w:rsid w:val="000246A1"/>
    <w:rsid w:val="00031685"/>
    <w:rsid w:val="000331C3"/>
    <w:rsid w:val="0003635C"/>
    <w:rsid w:val="0003794D"/>
    <w:rsid w:val="00060BD1"/>
    <w:rsid w:val="00061003"/>
    <w:rsid w:val="00066E54"/>
    <w:rsid w:val="0007617D"/>
    <w:rsid w:val="000769B9"/>
    <w:rsid w:val="0008775A"/>
    <w:rsid w:val="00090B91"/>
    <w:rsid w:val="000A2A91"/>
    <w:rsid w:val="000A5B81"/>
    <w:rsid w:val="000A712B"/>
    <w:rsid w:val="000B1F1E"/>
    <w:rsid w:val="000B3045"/>
    <w:rsid w:val="000B68AF"/>
    <w:rsid w:val="000C1922"/>
    <w:rsid w:val="000C1ED6"/>
    <w:rsid w:val="000D1782"/>
    <w:rsid w:val="000D5B23"/>
    <w:rsid w:val="001044C4"/>
    <w:rsid w:val="001058BA"/>
    <w:rsid w:val="00113861"/>
    <w:rsid w:val="00113A14"/>
    <w:rsid w:val="001178DC"/>
    <w:rsid w:val="00120CB6"/>
    <w:rsid w:val="001303F4"/>
    <w:rsid w:val="0013193F"/>
    <w:rsid w:val="001470A6"/>
    <w:rsid w:val="00155722"/>
    <w:rsid w:val="00155B3F"/>
    <w:rsid w:val="00160EF9"/>
    <w:rsid w:val="001638BD"/>
    <w:rsid w:val="0017766A"/>
    <w:rsid w:val="00184C83"/>
    <w:rsid w:val="00185679"/>
    <w:rsid w:val="00191489"/>
    <w:rsid w:val="001A408D"/>
    <w:rsid w:val="001A7857"/>
    <w:rsid w:val="001B53C7"/>
    <w:rsid w:val="001B5928"/>
    <w:rsid w:val="001B68A7"/>
    <w:rsid w:val="001C5490"/>
    <w:rsid w:val="001E3316"/>
    <w:rsid w:val="001E3F00"/>
    <w:rsid w:val="001E5AF0"/>
    <w:rsid w:val="001F18A2"/>
    <w:rsid w:val="001F4ED5"/>
    <w:rsid w:val="0020587A"/>
    <w:rsid w:val="00206662"/>
    <w:rsid w:val="00210DB4"/>
    <w:rsid w:val="00212CF3"/>
    <w:rsid w:val="00214250"/>
    <w:rsid w:val="00226E91"/>
    <w:rsid w:val="0022732D"/>
    <w:rsid w:val="0022765D"/>
    <w:rsid w:val="00232659"/>
    <w:rsid w:val="00233CE1"/>
    <w:rsid w:val="002342B3"/>
    <w:rsid w:val="0024144F"/>
    <w:rsid w:val="00243C85"/>
    <w:rsid w:val="00245F47"/>
    <w:rsid w:val="002515E6"/>
    <w:rsid w:val="00255244"/>
    <w:rsid w:val="002656BB"/>
    <w:rsid w:val="002750CE"/>
    <w:rsid w:val="00280388"/>
    <w:rsid w:val="00280E16"/>
    <w:rsid w:val="002819F2"/>
    <w:rsid w:val="00285829"/>
    <w:rsid w:val="002873B9"/>
    <w:rsid w:val="00293124"/>
    <w:rsid w:val="002936DB"/>
    <w:rsid w:val="0029430F"/>
    <w:rsid w:val="002A1416"/>
    <w:rsid w:val="002A21BD"/>
    <w:rsid w:val="002A47CF"/>
    <w:rsid w:val="002A51A1"/>
    <w:rsid w:val="002A5752"/>
    <w:rsid w:val="002C24AF"/>
    <w:rsid w:val="002C3877"/>
    <w:rsid w:val="002C4ECA"/>
    <w:rsid w:val="002C6C2D"/>
    <w:rsid w:val="002E54D4"/>
    <w:rsid w:val="002E6538"/>
    <w:rsid w:val="003025F6"/>
    <w:rsid w:val="00311773"/>
    <w:rsid w:val="003135FA"/>
    <w:rsid w:val="00314C78"/>
    <w:rsid w:val="003200BF"/>
    <w:rsid w:val="00324C57"/>
    <w:rsid w:val="00331702"/>
    <w:rsid w:val="00335A71"/>
    <w:rsid w:val="003374D6"/>
    <w:rsid w:val="0034204B"/>
    <w:rsid w:val="00350E3C"/>
    <w:rsid w:val="00357572"/>
    <w:rsid w:val="00357B65"/>
    <w:rsid w:val="00360EDE"/>
    <w:rsid w:val="00363D82"/>
    <w:rsid w:val="00366B2C"/>
    <w:rsid w:val="003715A4"/>
    <w:rsid w:val="00374C9B"/>
    <w:rsid w:val="00387574"/>
    <w:rsid w:val="0038CE7C"/>
    <w:rsid w:val="00397AE3"/>
    <w:rsid w:val="003A4618"/>
    <w:rsid w:val="003B2BE7"/>
    <w:rsid w:val="003B2CE8"/>
    <w:rsid w:val="003B2E03"/>
    <w:rsid w:val="003BF979"/>
    <w:rsid w:val="003C0DC4"/>
    <w:rsid w:val="003C21AF"/>
    <w:rsid w:val="003C24CB"/>
    <w:rsid w:val="003C3E95"/>
    <w:rsid w:val="003C4404"/>
    <w:rsid w:val="003D173F"/>
    <w:rsid w:val="003D2982"/>
    <w:rsid w:val="003E4DB6"/>
    <w:rsid w:val="003E5B81"/>
    <w:rsid w:val="003F008C"/>
    <w:rsid w:val="003F0884"/>
    <w:rsid w:val="003F5FB0"/>
    <w:rsid w:val="004015EE"/>
    <w:rsid w:val="00401811"/>
    <w:rsid w:val="004020B7"/>
    <w:rsid w:val="00405489"/>
    <w:rsid w:val="004063ED"/>
    <w:rsid w:val="00412966"/>
    <w:rsid w:val="004231FD"/>
    <w:rsid w:val="00425C9C"/>
    <w:rsid w:val="00427AE8"/>
    <w:rsid w:val="00432B5C"/>
    <w:rsid w:val="00444A5A"/>
    <w:rsid w:val="004549FC"/>
    <w:rsid w:val="0046380A"/>
    <w:rsid w:val="0046CA70"/>
    <w:rsid w:val="00470DAC"/>
    <w:rsid w:val="004725CE"/>
    <w:rsid w:val="00486262"/>
    <w:rsid w:val="00491AA5"/>
    <w:rsid w:val="00492816"/>
    <w:rsid w:val="00492D1F"/>
    <w:rsid w:val="00496E1C"/>
    <w:rsid w:val="00497DAE"/>
    <w:rsid w:val="004A2CED"/>
    <w:rsid w:val="004B0A19"/>
    <w:rsid w:val="004B476F"/>
    <w:rsid w:val="004C1095"/>
    <w:rsid w:val="004C48AF"/>
    <w:rsid w:val="004D0812"/>
    <w:rsid w:val="004D299A"/>
    <w:rsid w:val="004E0E3B"/>
    <w:rsid w:val="004E3A3E"/>
    <w:rsid w:val="004E51CD"/>
    <w:rsid w:val="004F690C"/>
    <w:rsid w:val="00504610"/>
    <w:rsid w:val="00511EA2"/>
    <w:rsid w:val="00514E14"/>
    <w:rsid w:val="00530C2C"/>
    <w:rsid w:val="005324E0"/>
    <w:rsid w:val="005325FC"/>
    <w:rsid w:val="005444F5"/>
    <w:rsid w:val="005469C9"/>
    <w:rsid w:val="005576DE"/>
    <w:rsid w:val="00557F63"/>
    <w:rsid w:val="00561ED9"/>
    <w:rsid w:val="00563F7D"/>
    <w:rsid w:val="00570BB3"/>
    <w:rsid w:val="005727A9"/>
    <w:rsid w:val="005730C5"/>
    <w:rsid w:val="0057432D"/>
    <w:rsid w:val="005A4338"/>
    <w:rsid w:val="005B1199"/>
    <w:rsid w:val="005B377C"/>
    <w:rsid w:val="005B4630"/>
    <w:rsid w:val="005B68C2"/>
    <w:rsid w:val="005C0AC5"/>
    <w:rsid w:val="005D0F8A"/>
    <w:rsid w:val="005D6331"/>
    <w:rsid w:val="005E2185"/>
    <w:rsid w:val="005F380F"/>
    <w:rsid w:val="005F6FCB"/>
    <w:rsid w:val="005F74BB"/>
    <w:rsid w:val="00602B78"/>
    <w:rsid w:val="00603C0D"/>
    <w:rsid w:val="0060414B"/>
    <w:rsid w:val="00605969"/>
    <w:rsid w:val="00607486"/>
    <w:rsid w:val="006165FF"/>
    <w:rsid w:val="0062690E"/>
    <w:rsid w:val="00627DA8"/>
    <w:rsid w:val="00635295"/>
    <w:rsid w:val="00636B57"/>
    <w:rsid w:val="00642BFC"/>
    <w:rsid w:val="00644662"/>
    <w:rsid w:val="00645EB0"/>
    <w:rsid w:val="00693C8F"/>
    <w:rsid w:val="00697E1A"/>
    <w:rsid w:val="006A3BCA"/>
    <w:rsid w:val="006B31AF"/>
    <w:rsid w:val="006C1E35"/>
    <w:rsid w:val="006C2C40"/>
    <w:rsid w:val="006D24D5"/>
    <w:rsid w:val="006D4FF1"/>
    <w:rsid w:val="006D6089"/>
    <w:rsid w:val="006D65A8"/>
    <w:rsid w:val="006E73F1"/>
    <w:rsid w:val="006E74A5"/>
    <w:rsid w:val="006F1BAD"/>
    <w:rsid w:val="006F4664"/>
    <w:rsid w:val="006F7BA5"/>
    <w:rsid w:val="00700A85"/>
    <w:rsid w:val="00715552"/>
    <w:rsid w:val="00720084"/>
    <w:rsid w:val="00721459"/>
    <w:rsid w:val="0072157B"/>
    <w:rsid w:val="0073063B"/>
    <w:rsid w:val="00730E57"/>
    <w:rsid w:val="00732449"/>
    <w:rsid w:val="007348B4"/>
    <w:rsid w:val="00736BD4"/>
    <w:rsid w:val="00736CEB"/>
    <w:rsid w:val="00747E41"/>
    <w:rsid w:val="0076262F"/>
    <w:rsid w:val="00765426"/>
    <w:rsid w:val="007669B0"/>
    <w:rsid w:val="00770BEF"/>
    <w:rsid w:val="00775BCA"/>
    <w:rsid w:val="0079719D"/>
    <w:rsid w:val="007A1EE0"/>
    <w:rsid w:val="007A363C"/>
    <w:rsid w:val="007A5062"/>
    <w:rsid w:val="007A74E2"/>
    <w:rsid w:val="007B11B9"/>
    <w:rsid w:val="007B2019"/>
    <w:rsid w:val="007B2EEA"/>
    <w:rsid w:val="007C1591"/>
    <w:rsid w:val="007D4B91"/>
    <w:rsid w:val="007D7E9C"/>
    <w:rsid w:val="007E1B61"/>
    <w:rsid w:val="007E42DD"/>
    <w:rsid w:val="007E7727"/>
    <w:rsid w:val="007F2A16"/>
    <w:rsid w:val="007F51EA"/>
    <w:rsid w:val="0080241E"/>
    <w:rsid w:val="008056BA"/>
    <w:rsid w:val="0080765A"/>
    <w:rsid w:val="00811AF5"/>
    <w:rsid w:val="00820750"/>
    <w:rsid w:val="00822C0C"/>
    <w:rsid w:val="0082310B"/>
    <w:rsid w:val="008231F5"/>
    <w:rsid w:val="00825F61"/>
    <w:rsid w:val="00843A4E"/>
    <w:rsid w:val="008500CD"/>
    <w:rsid w:val="008511F0"/>
    <w:rsid w:val="00852DA4"/>
    <w:rsid w:val="00855FD9"/>
    <w:rsid w:val="00863E23"/>
    <w:rsid w:val="008652C4"/>
    <w:rsid w:val="00874072"/>
    <w:rsid w:val="00874360"/>
    <w:rsid w:val="0088173A"/>
    <w:rsid w:val="008819D7"/>
    <w:rsid w:val="008858F0"/>
    <w:rsid w:val="00886BB7"/>
    <w:rsid w:val="00890918"/>
    <w:rsid w:val="008916B5"/>
    <w:rsid w:val="008B1029"/>
    <w:rsid w:val="008B207D"/>
    <w:rsid w:val="008B5A24"/>
    <w:rsid w:val="008C012D"/>
    <w:rsid w:val="008C19D1"/>
    <w:rsid w:val="008C5B72"/>
    <w:rsid w:val="008C7504"/>
    <w:rsid w:val="008D0374"/>
    <w:rsid w:val="008D6958"/>
    <w:rsid w:val="008E1299"/>
    <w:rsid w:val="008E3EB4"/>
    <w:rsid w:val="008F107A"/>
    <w:rsid w:val="008F3E57"/>
    <w:rsid w:val="008F5A8C"/>
    <w:rsid w:val="008F5B99"/>
    <w:rsid w:val="009011D1"/>
    <w:rsid w:val="00910419"/>
    <w:rsid w:val="00914F87"/>
    <w:rsid w:val="00925F82"/>
    <w:rsid w:val="009344BD"/>
    <w:rsid w:val="009540F3"/>
    <w:rsid w:val="00957E33"/>
    <w:rsid w:val="0096506B"/>
    <w:rsid w:val="009657E1"/>
    <w:rsid w:val="0097221C"/>
    <w:rsid w:val="009766BE"/>
    <w:rsid w:val="009769FF"/>
    <w:rsid w:val="00985603"/>
    <w:rsid w:val="00992989"/>
    <w:rsid w:val="00992F78"/>
    <w:rsid w:val="00994A72"/>
    <w:rsid w:val="00996143"/>
    <w:rsid w:val="009A2E0C"/>
    <w:rsid w:val="009B52E7"/>
    <w:rsid w:val="009D09F0"/>
    <w:rsid w:val="009E145C"/>
    <w:rsid w:val="00A01D2A"/>
    <w:rsid w:val="00A03221"/>
    <w:rsid w:val="00A148EA"/>
    <w:rsid w:val="00A15394"/>
    <w:rsid w:val="00A15F2C"/>
    <w:rsid w:val="00A235FD"/>
    <w:rsid w:val="00A2688A"/>
    <w:rsid w:val="00A27056"/>
    <w:rsid w:val="00A37011"/>
    <w:rsid w:val="00A41D67"/>
    <w:rsid w:val="00A461E9"/>
    <w:rsid w:val="00A46B54"/>
    <w:rsid w:val="00A47700"/>
    <w:rsid w:val="00A534E6"/>
    <w:rsid w:val="00A56ED7"/>
    <w:rsid w:val="00A61247"/>
    <w:rsid w:val="00A6194E"/>
    <w:rsid w:val="00A658B8"/>
    <w:rsid w:val="00A66D01"/>
    <w:rsid w:val="00A7068D"/>
    <w:rsid w:val="00A73A7E"/>
    <w:rsid w:val="00A74A51"/>
    <w:rsid w:val="00A85782"/>
    <w:rsid w:val="00A86F14"/>
    <w:rsid w:val="00A963FA"/>
    <w:rsid w:val="00AA037B"/>
    <w:rsid w:val="00AA5D39"/>
    <w:rsid w:val="00AB0A4C"/>
    <w:rsid w:val="00AB19DD"/>
    <w:rsid w:val="00AB2C6F"/>
    <w:rsid w:val="00AB47DE"/>
    <w:rsid w:val="00AB5E5C"/>
    <w:rsid w:val="00AC07B6"/>
    <w:rsid w:val="00AD383A"/>
    <w:rsid w:val="00AD7909"/>
    <w:rsid w:val="00AD7D5A"/>
    <w:rsid w:val="00AE21C3"/>
    <w:rsid w:val="00AE3BB0"/>
    <w:rsid w:val="00AE4886"/>
    <w:rsid w:val="00AE622A"/>
    <w:rsid w:val="00B06C95"/>
    <w:rsid w:val="00B21912"/>
    <w:rsid w:val="00B238F0"/>
    <w:rsid w:val="00B2623E"/>
    <w:rsid w:val="00B356E4"/>
    <w:rsid w:val="00B42C8C"/>
    <w:rsid w:val="00B4324B"/>
    <w:rsid w:val="00B458C5"/>
    <w:rsid w:val="00B54072"/>
    <w:rsid w:val="00B55A5D"/>
    <w:rsid w:val="00B55C2E"/>
    <w:rsid w:val="00B613C0"/>
    <w:rsid w:val="00B73260"/>
    <w:rsid w:val="00B879AF"/>
    <w:rsid w:val="00B91DB1"/>
    <w:rsid w:val="00B94AF9"/>
    <w:rsid w:val="00B95E23"/>
    <w:rsid w:val="00B96F7F"/>
    <w:rsid w:val="00B97A75"/>
    <w:rsid w:val="00BA1976"/>
    <w:rsid w:val="00BA305D"/>
    <w:rsid w:val="00BA6853"/>
    <w:rsid w:val="00BC0C88"/>
    <w:rsid w:val="00BC5FDE"/>
    <w:rsid w:val="00BD0CF1"/>
    <w:rsid w:val="00BD14DA"/>
    <w:rsid w:val="00BD18B6"/>
    <w:rsid w:val="00BE08F1"/>
    <w:rsid w:val="00BE485A"/>
    <w:rsid w:val="00BE5FB2"/>
    <w:rsid w:val="00BF109F"/>
    <w:rsid w:val="00BF259D"/>
    <w:rsid w:val="00BF64F5"/>
    <w:rsid w:val="00C00CC4"/>
    <w:rsid w:val="00C2048E"/>
    <w:rsid w:val="00C20862"/>
    <w:rsid w:val="00C21405"/>
    <w:rsid w:val="00C3063F"/>
    <w:rsid w:val="00C338DF"/>
    <w:rsid w:val="00C340B6"/>
    <w:rsid w:val="00C35DF0"/>
    <w:rsid w:val="00C367D1"/>
    <w:rsid w:val="00C4276A"/>
    <w:rsid w:val="00C42CBE"/>
    <w:rsid w:val="00C4785F"/>
    <w:rsid w:val="00C53FA1"/>
    <w:rsid w:val="00C5634D"/>
    <w:rsid w:val="00C60A0D"/>
    <w:rsid w:val="00C637C9"/>
    <w:rsid w:val="00C664DD"/>
    <w:rsid w:val="00C82F80"/>
    <w:rsid w:val="00C83457"/>
    <w:rsid w:val="00C851D8"/>
    <w:rsid w:val="00C9182D"/>
    <w:rsid w:val="00C9219D"/>
    <w:rsid w:val="00C928D2"/>
    <w:rsid w:val="00CA09D4"/>
    <w:rsid w:val="00CA404F"/>
    <w:rsid w:val="00CA694E"/>
    <w:rsid w:val="00CB46B3"/>
    <w:rsid w:val="00CC12F8"/>
    <w:rsid w:val="00CD053F"/>
    <w:rsid w:val="00CE5F30"/>
    <w:rsid w:val="00CE7C40"/>
    <w:rsid w:val="00D06A3D"/>
    <w:rsid w:val="00D0781E"/>
    <w:rsid w:val="00D11761"/>
    <w:rsid w:val="00D14974"/>
    <w:rsid w:val="00D14E56"/>
    <w:rsid w:val="00D15D62"/>
    <w:rsid w:val="00D215A7"/>
    <w:rsid w:val="00D25E0A"/>
    <w:rsid w:val="00D26B1A"/>
    <w:rsid w:val="00D40CA4"/>
    <w:rsid w:val="00D501AC"/>
    <w:rsid w:val="00D557F7"/>
    <w:rsid w:val="00D55DE9"/>
    <w:rsid w:val="00D5685C"/>
    <w:rsid w:val="00D62092"/>
    <w:rsid w:val="00D70A74"/>
    <w:rsid w:val="00D70B10"/>
    <w:rsid w:val="00D76AEC"/>
    <w:rsid w:val="00D772A2"/>
    <w:rsid w:val="00D84A74"/>
    <w:rsid w:val="00D93183"/>
    <w:rsid w:val="00D96B15"/>
    <w:rsid w:val="00D97105"/>
    <w:rsid w:val="00DB4239"/>
    <w:rsid w:val="00DB5291"/>
    <w:rsid w:val="00DC6A2B"/>
    <w:rsid w:val="00DD1F85"/>
    <w:rsid w:val="00DD38FE"/>
    <w:rsid w:val="00DD61DA"/>
    <w:rsid w:val="00DD7D47"/>
    <w:rsid w:val="00DE7CC2"/>
    <w:rsid w:val="00DE7D90"/>
    <w:rsid w:val="00DF6CF8"/>
    <w:rsid w:val="00E06B68"/>
    <w:rsid w:val="00E06DB7"/>
    <w:rsid w:val="00E06ED1"/>
    <w:rsid w:val="00E1629D"/>
    <w:rsid w:val="00E17FBE"/>
    <w:rsid w:val="00E26B7D"/>
    <w:rsid w:val="00E308BC"/>
    <w:rsid w:val="00E31BC9"/>
    <w:rsid w:val="00E45733"/>
    <w:rsid w:val="00E46817"/>
    <w:rsid w:val="00E50CC4"/>
    <w:rsid w:val="00E51C11"/>
    <w:rsid w:val="00E5438E"/>
    <w:rsid w:val="00E6216D"/>
    <w:rsid w:val="00E70BDD"/>
    <w:rsid w:val="00E751B4"/>
    <w:rsid w:val="00E80D28"/>
    <w:rsid w:val="00E81BF5"/>
    <w:rsid w:val="00E86E17"/>
    <w:rsid w:val="00E9087E"/>
    <w:rsid w:val="00EB48B8"/>
    <w:rsid w:val="00EB633D"/>
    <w:rsid w:val="00EC2008"/>
    <w:rsid w:val="00EC38DD"/>
    <w:rsid w:val="00EC68D6"/>
    <w:rsid w:val="00ED1904"/>
    <w:rsid w:val="00ED1DA7"/>
    <w:rsid w:val="00ED35D7"/>
    <w:rsid w:val="00ED4C34"/>
    <w:rsid w:val="00ED6C98"/>
    <w:rsid w:val="00EE0365"/>
    <w:rsid w:val="00EE3319"/>
    <w:rsid w:val="00EF5695"/>
    <w:rsid w:val="00F03006"/>
    <w:rsid w:val="00F03757"/>
    <w:rsid w:val="00F05AB1"/>
    <w:rsid w:val="00F120B9"/>
    <w:rsid w:val="00F432F5"/>
    <w:rsid w:val="00F46579"/>
    <w:rsid w:val="00F46810"/>
    <w:rsid w:val="00F52193"/>
    <w:rsid w:val="00F56A5C"/>
    <w:rsid w:val="00F600C7"/>
    <w:rsid w:val="00F67709"/>
    <w:rsid w:val="00F8118E"/>
    <w:rsid w:val="00F957D2"/>
    <w:rsid w:val="00F9719B"/>
    <w:rsid w:val="00F975F7"/>
    <w:rsid w:val="00FA3A43"/>
    <w:rsid w:val="00FC4D3D"/>
    <w:rsid w:val="00FD106A"/>
    <w:rsid w:val="00FD20B8"/>
    <w:rsid w:val="00FD248C"/>
    <w:rsid w:val="00FF09CA"/>
    <w:rsid w:val="00FF342B"/>
    <w:rsid w:val="00FF3915"/>
    <w:rsid w:val="00FF447E"/>
    <w:rsid w:val="0136C25A"/>
    <w:rsid w:val="014EA6D4"/>
    <w:rsid w:val="0178DFCE"/>
    <w:rsid w:val="017942BE"/>
    <w:rsid w:val="017A5F7C"/>
    <w:rsid w:val="018B91E1"/>
    <w:rsid w:val="018F0F5F"/>
    <w:rsid w:val="01B20233"/>
    <w:rsid w:val="01BA33B5"/>
    <w:rsid w:val="01C05767"/>
    <w:rsid w:val="01C7ADC0"/>
    <w:rsid w:val="01EFE7E3"/>
    <w:rsid w:val="020A90A6"/>
    <w:rsid w:val="023F4EA4"/>
    <w:rsid w:val="0241BD3A"/>
    <w:rsid w:val="0246B44C"/>
    <w:rsid w:val="025C9591"/>
    <w:rsid w:val="025E798A"/>
    <w:rsid w:val="02698FCE"/>
    <w:rsid w:val="027046ED"/>
    <w:rsid w:val="02C4FC1E"/>
    <w:rsid w:val="02C95CDC"/>
    <w:rsid w:val="02D88CC2"/>
    <w:rsid w:val="0320FDD9"/>
    <w:rsid w:val="0335FD97"/>
    <w:rsid w:val="0337D3DA"/>
    <w:rsid w:val="033C7D34"/>
    <w:rsid w:val="03809407"/>
    <w:rsid w:val="0382236E"/>
    <w:rsid w:val="0384005D"/>
    <w:rsid w:val="03B36D62"/>
    <w:rsid w:val="03BC59C1"/>
    <w:rsid w:val="03CE5FE5"/>
    <w:rsid w:val="03DBC01C"/>
    <w:rsid w:val="03F1C0A6"/>
    <w:rsid w:val="04848DBE"/>
    <w:rsid w:val="04928C66"/>
    <w:rsid w:val="04C2400F"/>
    <w:rsid w:val="04DAFFFA"/>
    <w:rsid w:val="04DE307A"/>
    <w:rsid w:val="04F5034C"/>
    <w:rsid w:val="050DD03B"/>
    <w:rsid w:val="05125158"/>
    <w:rsid w:val="051BB92E"/>
    <w:rsid w:val="053468C8"/>
    <w:rsid w:val="0535FD8F"/>
    <w:rsid w:val="05381832"/>
    <w:rsid w:val="054B6E6E"/>
    <w:rsid w:val="057A70CF"/>
    <w:rsid w:val="058143F1"/>
    <w:rsid w:val="0583332B"/>
    <w:rsid w:val="058E23A4"/>
    <w:rsid w:val="05CA0CF3"/>
    <w:rsid w:val="05D09846"/>
    <w:rsid w:val="05D6ADE2"/>
    <w:rsid w:val="05DC6F31"/>
    <w:rsid w:val="05DD4589"/>
    <w:rsid w:val="060753FD"/>
    <w:rsid w:val="06153988"/>
    <w:rsid w:val="0635E3ED"/>
    <w:rsid w:val="064373FD"/>
    <w:rsid w:val="069C0169"/>
    <w:rsid w:val="069D4F4C"/>
    <w:rsid w:val="06A95EDE"/>
    <w:rsid w:val="06CD018F"/>
    <w:rsid w:val="06ED1EF5"/>
    <w:rsid w:val="0700E73C"/>
    <w:rsid w:val="070233B9"/>
    <w:rsid w:val="071AE1C8"/>
    <w:rsid w:val="0778A426"/>
    <w:rsid w:val="078B28C0"/>
    <w:rsid w:val="07B0C84C"/>
    <w:rsid w:val="07BAD224"/>
    <w:rsid w:val="07D5FC46"/>
    <w:rsid w:val="07D653BB"/>
    <w:rsid w:val="07DDB9B8"/>
    <w:rsid w:val="07F96B3F"/>
    <w:rsid w:val="0814CFF0"/>
    <w:rsid w:val="0825B0A2"/>
    <w:rsid w:val="0847DC49"/>
    <w:rsid w:val="0859AFF3"/>
    <w:rsid w:val="085F4A34"/>
    <w:rsid w:val="086CDBEB"/>
    <w:rsid w:val="0870A521"/>
    <w:rsid w:val="08976D6D"/>
    <w:rsid w:val="08A31DC7"/>
    <w:rsid w:val="08AB3EA0"/>
    <w:rsid w:val="08BB06D8"/>
    <w:rsid w:val="08BD134B"/>
    <w:rsid w:val="08C0DF86"/>
    <w:rsid w:val="08DD882D"/>
    <w:rsid w:val="08EF0336"/>
    <w:rsid w:val="08FBE370"/>
    <w:rsid w:val="09068E1E"/>
    <w:rsid w:val="09266E61"/>
    <w:rsid w:val="092ADAC3"/>
    <w:rsid w:val="0944889E"/>
    <w:rsid w:val="095A7261"/>
    <w:rsid w:val="096810E4"/>
    <w:rsid w:val="099BCBB7"/>
    <w:rsid w:val="09A52219"/>
    <w:rsid w:val="09B20929"/>
    <w:rsid w:val="09B543EE"/>
    <w:rsid w:val="09D15A1C"/>
    <w:rsid w:val="09F11E9F"/>
    <w:rsid w:val="09F1651D"/>
    <w:rsid w:val="0A0218CA"/>
    <w:rsid w:val="0A19F284"/>
    <w:rsid w:val="0A1A74B5"/>
    <w:rsid w:val="0A1B940C"/>
    <w:rsid w:val="0A575460"/>
    <w:rsid w:val="0A6BF44D"/>
    <w:rsid w:val="0A6E7C3B"/>
    <w:rsid w:val="0A9B7E48"/>
    <w:rsid w:val="0AA67DDB"/>
    <w:rsid w:val="0AB38468"/>
    <w:rsid w:val="0ABA2181"/>
    <w:rsid w:val="0ABA4C34"/>
    <w:rsid w:val="0AD16D27"/>
    <w:rsid w:val="0B1B113F"/>
    <w:rsid w:val="0B1C22CF"/>
    <w:rsid w:val="0B21C64A"/>
    <w:rsid w:val="0B676F5A"/>
    <w:rsid w:val="0B73B617"/>
    <w:rsid w:val="0BB493BD"/>
    <w:rsid w:val="0BBFF3D3"/>
    <w:rsid w:val="0BC3B52A"/>
    <w:rsid w:val="0BDB09B3"/>
    <w:rsid w:val="0C066694"/>
    <w:rsid w:val="0C17ECC7"/>
    <w:rsid w:val="0C8F729A"/>
    <w:rsid w:val="0CA87634"/>
    <w:rsid w:val="0CACF95B"/>
    <w:rsid w:val="0CE1A48B"/>
    <w:rsid w:val="0CFEBFF6"/>
    <w:rsid w:val="0D06548A"/>
    <w:rsid w:val="0D1D9797"/>
    <w:rsid w:val="0D280106"/>
    <w:rsid w:val="0D352B0B"/>
    <w:rsid w:val="0D52F26F"/>
    <w:rsid w:val="0D53CC51"/>
    <w:rsid w:val="0D8D1C01"/>
    <w:rsid w:val="0D98AB61"/>
    <w:rsid w:val="0DA4DF4E"/>
    <w:rsid w:val="0DA9BBBF"/>
    <w:rsid w:val="0DA9BEF1"/>
    <w:rsid w:val="0DB59268"/>
    <w:rsid w:val="0DF653EF"/>
    <w:rsid w:val="0DF82653"/>
    <w:rsid w:val="0DFF41EB"/>
    <w:rsid w:val="0DFFDCCA"/>
    <w:rsid w:val="0E01AAB2"/>
    <w:rsid w:val="0E028633"/>
    <w:rsid w:val="0E0CB8A3"/>
    <w:rsid w:val="0E0D0EA6"/>
    <w:rsid w:val="0E73D572"/>
    <w:rsid w:val="0E88D2B4"/>
    <w:rsid w:val="0EA6F15D"/>
    <w:rsid w:val="0ED31EE4"/>
    <w:rsid w:val="0EFC13DA"/>
    <w:rsid w:val="0F00FFFF"/>
    <w:rsid w:val="0F290E17"/>
    <w:rsid w:val="0F2E8A27"/>
    <w:rsid w:val="0F3367CA"/>
    <w:rsid w:val="0F3C61C9"/>
    <w:rsid w:val="0F4F76A8"/>
    <w:rsid w:val="0F765F39"/>
    <w:rsid w:val="0F7D4C27"/>
    <w:rsid w:val="0F7DFCDD"/>
    <w:rsid w:val="0F899D24"/>
    <w:rsid w:val="0F8DA687"/>
    <w:rsid w:val="0FCBDDF0"/>
    <w:rsid w:val="0FD389AB"/>
    <w:rsid w:val="1002D9A5"/>
    <w:rsid w:val="10099DEB"/>
    <w:rsid w:val="101D2E47"/>
    <w:rsid w:val="1037B71E"/>
    <w:rsid w:val="1038400C"/>
    <w:rsid w:val="103F1F1B"/>
    <w:rsid w:val="1041C50E"/>
    <w:rsid w:val="104B4A6F"/>
    <w:rsid w:val="1062206A"/>
    <w:rsid w:val="1079D0C1"/>
    <w:rsid w:val="108ECC65"/>
    <w:rsid w:val="10AD49A1"/>
    <w:rsid w:val="10BAC698"/>
    <w:rsid w:val="10D15348"/>
    <w:rsid w:val="1113809B"/>
    <w:rsid w:val="1137D226"/>
    <w:rsid w:val="1147898E"/>
    <w:rsid w:val="1149BC2C"/>
    <w:rsid w:val="11536C06"/>
    <w:rsid w:val="118F4248"/>
    <w:rsid w:val="1198186C"/>
    <w:rsid w:val="11B90922"/>
    <w:rsid w:val="11D37BBC"/>
    <w:rsid w:val="11DD956F"/>
    <w:rsid w:val="11E32B93"/>
    <w:rsid w:val="11F31512"/>
    <w:rsid w:val="121734F7"/>
    <w:rsid w:val="122D9D4B"/>
    <w:rsid w:val="122E818C"/>
    <w:rsid w:val="1234F625"/>
    <w:rsid w:val="123626C7"/>
    <w:rsid w:val="1249D99F"/>
    <w:rsid w:val="1250FF33"/>
    <w:rsid w:val="1271649E"/>
    <w:rsid w:val="1278BC0C"/>
    <w:rsid w:val="1287073A"/>
    <w:rsid w:val="12891998"/>
    <w:rsid w:val="12AF4431"/>
    <w:rsid w:val="12BF31A4"/>
    <w:rsid w:val="12ED0A8B"/>
    <w:rsid w:val="12F102E4"/>
    <w:rsid w:val="12FA39B5"/>
    <w:rsid w:val="131979D0"/>
    <w:rsid w:val="131C2AE3"/>
    <w:rsid w:val="132F4E27"/>
    <w:rsid w:val="1365B92F"/>
    <w:rsid w:val="137B5ACF"/>
    <w:rsid w:val="13983E1A"/>
    <w:rsid w:val="13B225B1"/>
    <w:rsid w:val="13B72AFC"/>
    <w:rsid w:val="13C2FE4A"/>
    <w:rsid w:val="13F26BE5"/>
    <w:rsid w:val="140A6FAB"/>
    <w:rsid w:val="14142628"/>
    <w:rsid w:val="14526B09"/>
    <w:rsid w:val="1466CBDE"/>
    <w:rsid w:val="149CBBF9"/>
    <w:rsid w:val="14AE4A90"/>
    <w:rsid w:val="14D0EE2D"/>
    <w:rsid w:val="14DCA393"/>
    <w:rsid w:val="14ED6F40"/>
    <w:rsid w:val="14F694AA"/>
    <w:rsid w:val="1504C39A"/>
    <w:rsid w:val="152BBD32"/>
    <w:rsid w:val="153DA6CD"/>
    <w:rsid w:val="1547BADE"/>
    <w:rsid w:val="154B08B0"/>
    <w:rsid w:val="15641655"/>
    <w:rsid w:val="15700F7C"/>
    <w:rsid w:val="157874E9"/>
    <w:rsid w:val="159549FC"/>
    <w:rsid w:val="15A549CC"/>
    <w:rsid w:val="15A77851"/>
    <w:rsid w:val="15B2F2BA"/>
    <w:rsid w:val="15B96231"/>
    <w:rsid w:val="15C0D0B4"/>
    <w:rsid w:val="15E6F73E"/>
    <w:rsid w:val="161CD1B9"/>
    <w:rsid w:val="16205288"/>
    <w:rsid w:val="1622076A"/>
    <w:rsid w:val="16703F19"/>
    <w:rsid w:val="168063BD"/>
    <w:rsid w:val="1691BACC"/>
    <w:rsid w:val="1695B8A1"/>
    <w:rsid w:val="16998A43"/>
    <w:rsid w:val="16A48029"/>
    <w:rsid w:val="16BBCD38"/>
    <w:rsid w:val="16C84015"/>
    <w:rsid w:val="16F99E95"/>
    <w:rsid w:val="17069806"/>
    <w:rsid w:val="17074502"/>
    <w:rsid w:val="174645A5"/>
    <w:rsid w:val="1756B528"/>
    <w:rsid w:val="1757EF2F"/>
    <w:rsid w:val="1764788B"/>
    <w:rsid w:val="17802375"/>
    <w:rsid w:val="17A01D98"/>
    <w:rsid w:val="17B1C7EB"/>
    <w:rsid w:val="17CAFB0E"/>
    <w:rsid w:val="17F2DBFB"/>
    <w:rsid w:val="18043EF5"/>
    <w:rsid w:val="180ECD85"/>
    <w:rsid w:val="1810F019"/>
    <w:rsid w:val="182864BD"/>
    <w:rsid w:val="182962DD"/>
    <w:rsid w:val="1830B587"/>
    <w:rsid w:val="18347DA1"/>
    <w:rsid w:val="18691100"/>
    <w:rsid w:val="186AD703"/>
    <w:rsid w:val="187C2C70"/>
    <w:rsid w:val="187F7016"/>
    <w:rsid w:val="18C26351"/>
    <w:rsid w:val="18C34A9D"/>
    <w:rsid w:val="18D0EE2C"/>
    <w:rsid w:val="18D26789"/>
    <w:rsid w:val="18F809AA"/>
    <w:rsid w:val="191CBDAC"/>
    <w:rsid w:val="19332EEE"/>
    <w:rsid w:val="19346143"/>
    <w:rsid w:val="1964E71A"/>
    <w:rsid w:val="197AF874"/>
    <w:rsid w:val="19818137"/>
    <w:rsid w:val="1982395C"/>
    <w:rsid w:val="19916B84"/>
    <w:rsid w:val="19934369"/>
    <w:rsid w:val="199C4931"/>
    <w:rsid w:val="19C96C1A"/>
    <w:rsid w:val="19EBE43F"/>
    <w:rsid w:val="1A18DF26"/>
    <w:rsid w:val="1A39787F"/>
    <w:rsid w:val="1A3DD17D"/>
    <w:rsid w:val="1A7D34CB"/>
    <w:rsid w:val="1AC3B6F4"/>
    <w:rsid w:val="1ACA211A"/>
    <w:rsid w:val="1AE0C244"/>
    <w:rsid w:val="1B4194F3"/>
    <w:rsid w:val="1B51B7BC"/>
    <w:rsid w:val="1B8AD029"/>
    <w:rsid w:val="1BB27720"/>
    <w:rsid w:val="1BB3B286"/>
    <w:rsid w:val="1BB89795"/>
    <w:rsid w:val="1BCA6B5B"/>
    <w:rsid w:val="1BCEEA95"/>
    <w:rsid w:val="1BDDA2C2"/>
    <w:rsid w:val="1BFCEB5D"/>
    <w:rsid w:val="1C0E5D5D"/>
    <w:rsid w:val="1C23C707"/>
    <w:rsid w:val="1C320A68"/>
    <w:rsid w:val="1C4B720D"/>
    <w:rsid w:val="1C592D07"/>
    <w:rsid w:val="1C6E0324"/>
    <w:rsid w:val="1C6FEE52"/>
    <w:rsid w:val="1C7B1F43"/>
    <w:rsid w:val="1C7E2E72"/>
    <w:rsid w:val="1C900ADD"/>
    <w:rsid w:val="1C9260A7"/>
    <w:rsid w:val="1CB6550D"/>
    <w:rsid w:val="1CC90EB2"/>
    <w:rsid w:val="1CD92903"/>
    <w:rsid w:val="1CEF436B"/>
    <w:rsid w:val="1D0258A8"/>
    <w:rsid w:val="1D0A42CF"/>
    <w:rsid w:val="1D3D1475"/>
    <w:rsid w:val="1D4902C6"/>
    <w:rsid w:val="1D8EA191"/>
    <w:rsid w:val="1D9AC2EB"/>
    <w:rsid w:val="1DA2C29C"/>
    <w:rsid w:val="1DAB9E88"/>
    <w:rsid w:val="1DBFF26E"/>
    <w:rsid w:val="1DC82EAF"/>
    <w:rsid w:val="1DEE42A2"/>
    <w:rsid w:val="1E19F38C"/>
    <w:rsid w:val="1E241A8B"/>
    <w:rsid w:val="1E2D2D33"/>
    <w:rsid w:val="1E471DE0"/>
    <w:rsid w:val="1E767890"/>
    <w:rsid w:val="1EC5A84B"/>
    <w:rsid w:val="1EC806F9"/>
    <w:rsid w:val="1EF02D76"/>
    <w:rsid w:val="1F009334"/>
    <w:rsid w:val="1F05864E"/>
    <w:rsid w:val="1F12B38C"/>
    <w:rsid w:val="1F194DD5"/>
    <w:rsid w:val="1F49D670"/>
    <w:rsid w:val="1F554EDF"/>
    <w:rsid w:val="1F6AF2DD"/>
    <w:rsid w:val="1F9EE457"/>
    <w:rsid w:val="1FA67F4F"/>
    <w:rsid w:val="1FAE9DFC"/>
    <w:rsid w:val="1FCA8B10"/>
    <w:rsid w:val="1FD14BC4"/>
    <w:rsid w:val="1FE7DDAD"/>
    <w:rsid w:val="1FEB8CC4"/>
    <w:rsid w:val="1FFA7B3B"/>
    <w:rsid w:val="200EF606"/>
    <w:rsid w:val="202BEBC9"/>
    <w:rsid w:val="2038F198"/>
    <w:rsid w:val="205ECEFC"/>
    <w:rsid w:val="20780DA4"/>
    <w:rsid w:val="207883DB"/>
    <w:rsid w:val="20819920"/>
    <w:rsid w:val="20869650"/>
    <w:rsid w:val="209CD8B5"/>
    <w:rsid w:val="20C2100C"/>
    <w:rsid w:val="20C2730C"/>
    <w:rsid w:val="20EA99F4"/>
    <w:rsid w:val="20FF7482"/>
    <w:rsid w:val="211CBAC6"/>
    <w:rsid w:val="2127CC1A"/>
    <w:rsid w:val="212A9117"/>
    <w:rsid w:val="214CBAA5"/>
    <w:rsid w:val="21630BC7"/>
    <w:rsid w:val="216845D7"/>
    <w:rsid w:val="216DD320"/>
    <w:rsid w:val="21A82CCC"/>
    <w:rsid w:val="21A97758"/>
    <w:rsid w:val="21D5878B"/>
    <w:rsid w:val="21DE3A66"/>
    <w:rsid w:val="21F2CBE6"/>
    <w:rsid w:val="2205ADA3"/>
    <w:rsid w:val="220783CD"/>
    <w:rsid w:val="223775FF"/>
    <w:rsid w:val="2246962D"/>
    <w:rsid w:val="224D160B"/>
    <w:rsid w:val="224F9320"/>
    <w:rsid w:val="22647184"/>
    <w:rsid w:val="22736086"/>
    <w:rsid w:val="22A357ED"/>
    <w:rsid w:val="22AD5900"/>
    <w:rsid w:val="22B89650"/>
    <w:rsid w:val="22C5B196"/>
    <w:rsid w:val="22CFC854"/>
    <w:rsid w:val="22F428B5"/>
    <w:rsid w:val="22F938EC"/>
    <w:rsid w:val="22FCDF8D"/>
    <w:rsid w:val="2326171A"/>
    <w:rsid w:val="233CB1C1"/>
    <w:rsid w:val="2359F564"/>
    <w:rsid w:val="23617CEB"/>
    <w:rsid w:val="23764AE0"/>
    <w:rsid w:val="238895AC"/>
    <w:rsid w:val="238B8940"/>
    <w:rsid w:val="2391209D"/>
    <w:rsid w:val="2391BFA9"/>
    <w:rsid w:val="23C039D4"/>
    <w:rsid w:val="241C4063"/>
    <w:rsid w:val="242BA7F1"/>
    <w:rsid w:val="24674ADE"/>
    <w:rsid w:val="24774179"/>
    <w:rsid w:val="24AA2E16"/>
    <w:rsid w:val="24AC8E49"/>
    <w:rsid w:val="24ADCE92"/>
    <w:rsid w:val="24CB0686"/>
    <w:rsid w:val="24E17592"/>
    <w:rsid w:val="24FD9049"/>
    <w:rsid w:val="2526ED5E"/>
    <w:rsid w:val="255F7654"/>
    <w:rsid w:val="2572A269"/>
    <w:rsid w:val="257423A9"/>
    <w:rsid w:val="258F8760"/>
    <w:rsid w:val="25B6CA95"/>
    <w:rsid w:val="25C6AC8C"/>
    <w:rsid w:val="25D3E567"/>
    <w:rsid w:val="25E1457D"/>
    <w:rsid w:val="260FFB39"/>
    <w:rsid w:val="263964C9"/>
    <w:rsid w:val="263B8484"/>
    <w:rsid w:val="263B9E4F"/>
    <w:rsid w:val="26439031"/>
    <w:rsid w:val="26469E01"/>
    <w:rsid w:val="26512433"/>
    <w:rsid w:val="26561D54"/>
    <w:rsid w:val="26974330"/>
    <w:rsid w:val="26EFEBB6"/>
    <w:rsid w:val="26F14FB3"/>
    <w:rsid w:val="26F26030"/>
    <w:rsid w:val="27251A8B"/>
    <w:rsid w:val="2733DEEA"/>
    <w:rsid w:val="2785C1F0"/>
    <w:rsid w:val="279DF77E"/>
    <w:rsid w:val="27A0F0AB"/>
    <w:rsid w:val="27B65B98"/>
    <w:rsid w:val="27E302B5"/>
    <w:rsid w:val="27E90894"/>
    <w:rsid w:val="28337960"/>
    <w:rsid w:val="283832C1"/>
    <w:rsid w:val="2851B039"/>
    <w:rsid w:val="2882A8ED"/>
    <w:rsid w:val="28AC76B0"/>
    <w:rsid w:val="28BF7141"/>
    <w:rsid w:val="28D26F17"/>
    <w:rsid w:val="28D380CC"/>
    <w:rsid w:val="2928C201"/>
    <w:rsid w:val="292BEBD3"/>
    <w:rsid w:val="2931F386"/>
    <w:rsid w:val="293E0D64"/>
    <w:rsid w:val="294007BF"/>
    <w:rsid w:val="2940C584"/>
    <w:rsid w:val="2969AABE"/>
    <w:rsid w:val="297CBD10"/>
    <w:rsid w:val="2A172F13"/>
    <w:rsid w:val="2A43939D"/>
    <w:rsid w:val="2A781FD7"/>
    <w:rsid w:val="2A84BFC9"/>
    <w:rsid w:val="2A8C4520"/>
    <w:rsid w:val="2A990BB6"/>
    <w:rsid w:val="2AD62B5D"/>
    <w:rsid w:val="2ADBA4A8"/>
    <w:rsid w:val="2ADDD6B9"/>
    <w:rsid w:val="2AECA0E3"/>
    <w:rsid w:val="2AF2AE48"/>
    <w:rsid w:val="2B010D09"/>
    <w:rsid w:val="2B0C56EC"/>
    <w:rsid w:val="2B140FD3"/>
    <w:rsid w:val="2B274C17"/>
    <w:rsid w:val="2B52E074"/>
    <w:rsid w:val="2B664F94"/>
    <w:rsid w:val="2B673A6E"/>
    <w:rsid w:val="2B6B87B6"/>
    <w:rsid w:val="2B7CC660"/>
    <w:rsid w:val="2B7F92A9"/>
    <w:rsid w:val="2BA3B2FA"/>
    <w:rsid w:val="2BA84155"/>
    <w:rsid w:val="2BD02D80"/>
    <w:rsid w:val="2BDBD222"/>
    <w:rsid w:val="2BE3013C"/>
    <w:rsid w:val="2C077C7F"/>
    <w:rsid w:val="2C09B3D4"/>
    <w:rsid w:val="2C3C808B"/>
    <w:rsid w:val="2C4DAA0F"/>
    <w:rsid w:val="2C654E17"/>
    <w:rsid w:val="2C6BB3AC"/>
    <w:rsid w:val="2C983AD6"/>
    <w:rsid w:val="2C98433B"/>
    <w:rsid w:val="2CA399A4"/>
    <w:rsid w:val="2CB4DB9F"/>
    <w:rsid w:val="2D08D01B"/>
    <w:rsid w:val="2D244EA5"/>
    <w:rsid w:val="2D4D94A2"/>
    <w:rsid w:val="2D970DFD"/>
    <w:rsid w:val="2DA4C325"/>
    <w:rsid w:val="2DB90037"/>
    <w:rsid w:val="2DEC4A22"/>
    <w:rsid w:val="2DFC4829"/>
    <w:rsid w:val="2E01A6E7"/>
    <w:rsid w:val="2E12E925"/>
    <w:rsid w:val="2E285899"/>
    <w:rsid w:val="2E4A6566"/>
    <w:rsid w:val="2E55C32B"/>
    <w:rsid w:val="2E5E3D09"/>
    <w:rsid w:val="2E5EEDAE"/>
    <w:rsid w:val="2E622CEA"/>
    <w:rsid w:val="2E68F5AD"/>
    <w:rsid w:val="2E765EE2"/>
    <w:rsid w:val="2E7AA007"/>
    <w:rsid w:val="2E87B724"/>
    <w:rsid w:val="2E9AB19C"/>
    <w:rsid w:val="2EA52261"/>
    <w:rsid w:val="2EA54C25"/>
    <w:rsid w:val="2EBFFD2C"/>
    <w:rsid w:val="2ED6F115"/>
    <w:rsid w:val="2EDDF3CB"/>
    <w:rsid w:val="2EE2C940"/>
    <w:rsid w:val="2EEBCD52"/>
    <w:rsid w:val="2EFDA4D1"/>
    <w:rsid w:val="2F01012E"/>
    <w:rsid w:val="2F32765D"/>
    <w:rsid w:val="2F531D2F"/>
    <w:rsid w:val="2F54EFCA"/>
    <w:rsid w:val="2F566E4B"/>
    <w:rsid w:val="2F6D2FDB"/>
    <w:rsid w:val="2F8C484C"/>
    <w:rsid w:val="2FAC1E58"/>
    <w:rsid w:val="2FB67C78"/>
    <w:rsid w:val="2FC8B728"/>
    <w:rsid w:val="2FCFF42F"/>
    <w:rsid w:val="2FDDF46F"/>
    <w:rsid w:val="2FE38A61"/>
    <w:rsid w:val="2FED0EBA"/>
    <w:rsid w:val="30089B81"/>
    <w:rsid w:val="3010158F"/>
    <w:rsid w:val="3012EAD3"/>
    <w:rsid w:val="3035F136"/>
    <w:rsid w:val="3040AE7E"/>
    <w:rsid w:val="3066837C"/>
    <w:rsid w:val="30926D71"/>
    <w:rsid w:val="30B9F378"/>
    <w:rsid w:val="30CDC814"/>
    <w:rsid w:val="30D98F22"/>
    <w:rsid w:val="30DF7046"/>
    <w:rsid w:val="30FF08B5"/>
    <w:rsid w:val="3107E88D"/>
    <w:rsid w:val="31148587"/>
    <w:rsid w:val="311D06E4"/>
    <w:rsid w:val="31361DD2"/>
    <w:rsid w:val="3145C0EB"/>
    <w:rsid w:val="315CF6B1"/>
    <w:rsid w:val="3169CA09"/>
    <w:rsid w:val="3190257E"/>
    <w:rsid w:val="31B761D3"/>
    <w:rsid w:val="3221476B"/>
    <w:rsid w:val="326F8884"/>
    <w:rsid w:val="328A291C"/>
    <w:rsid w:val="32ABB5C3"/>
    <w:rsid w:val="32C46AAB"/>
    <w:rsid w:val="32C5F908"/>
    <w:rsid w:val="32C85B8E"/>
    <w:rsid w:val="32CAF530"/>
    <w:rsid w:val="32D6B73E"/>
    <w:rsid w:val="32E3FA8D"/>
    <w:rsid w:val="32EB8672"/>
    <w:rsid w:val="32EE9575"/>
    <w:rsid w:val="32FB9A53"/>
    <w:rsid w:val="3303A0A4"/>
    <w:rsid w:val="333124CC"/>
    <w:rsid w:val="33339AD9"/>
    <w:rsid w:val="333C3553"/>
    <w:rsid w:val="333D3915"/>
    <w:rsid w:val="3358129B"/>
    <w:rsid w:val="3362DE50"/>
    <w:rsid w:val="3367D037"/>
    <w:rsid w:val="3384E1CD"/>
    <w:rsid w:val="339427F5"/>
    <w:rsid w:val="3399C4D9"/>
    <w:rsid w:val="33B46DE2"/>
    <w:rsid w:val="33C1CA80"/>
    <w:rsid w:val="33ED5AD1"/>
    <w:rsid w:val="3420AB30"/>
    <w:rsid w:val="345E449D"/>
    <w:rsid w:val="346C5D2C"/>
    <w:rsid w:val="346DDB47"/>
    <w:rsid w:val="3470A78E"/>
    <w:rsid w:val="347939BE"/>
    <w:rsid w:val="34A628C8"/>
    <w:rsid w:val="34A9E693"/>
    <w:rsid w:val="34BEDE39"/>
    <w:rsid w:val="34C20D23"/>
    <w:rsid w:val="34CF08B8"/>
    <w:rsid w:val="34CF3557"/>
    <w:rsid w:val="34D1D932"/>
    <w:rsid w:val="34D87568"/>
    <w:rsid w:val="34D90976"/>
    <w:rsid w:val="34FE986B"/>
    <w:rsid w:val="3504A6D9"/>
    <w:rsid w:val="3515465D"/>
    <w:rsid w:val="353F83B3"/>
    <w:rsid w:val="356792FF"/>
    <w:rsid w:val="356AFA04"/>
    <w:rsid w:val="35A33BE7"/>
    <w:rsid w:val="35B4CB41"/>
    <w:rsid w:val="35D5030F"/>
    <w:rsid w:val="35DADC27"/>
    <w:rsid w:val="35DFA9D1"/>
    <w:rsid w:val="360F880F"/>
    <w:rsid w:val="36150199"/>
    <w:rsid w:val="363EA9D1"/>
    <w:rsid w:val="3657B514"/>
    <w:rsid w:val="3674D9D7"/>
    <w:rsid w:val="36B52F0B"/>
    <w:rsid w:val="36C01B63"/>
    <w:rsid w:val="36D9A5AB"/>
    <w:rsid w:val="3703E10A"/>
    <w:rsid w:val="3705503F"/>
    <w:rsid w:val="372121AB"/>
    <w:rsid w:val="374586F1"/>
    <w:rsid w:val="37636DA1"/>
    <w:rsid w:val="376926AB"/>
    <w:rsid w:val="3793C5F9"/>
    <w:rsid w:val="379B04E2"/>
    <w:rsid w:val="379D925A"/>
    <w:rsid w:val="37BBE3EA"/>
    <w:rsid w:val="37DF64D1"/>
    <w:rsid w:val="37EA0061"/>
    <w:rsid w:val="37FBC1E6"/>
    <w:rsid w:val="37FF01C7"/>
    <w:rsid w:val="38395CD2"/>
    <w:rsid w:val="38683C8C"/>
    <w:rsid w:val="3894052C"/>
    <w:rsid w:val="389ECA6B"/>
    <w:rsid w:val="38C126E7"/>
    <w:rsid w:val="38EFD6D6"/>
    <w:rsid w:val="38F493E6"/>
    <w:rsid w:val="38FA3E8C"/>
    <w:rsid w:val="38FD8793"/>
    <w:rsid w:val="39151B02"/>
    <w:rsid w:val="392FC7E6"/>
    <w:rsid w:val="39619ACB"/>
    <w:rsid w:val="396D1CC4"/>
    <w:rsid w:val="398CEA97"/>
    <w:rsid w:val="39A92EF1"/>
    <w:rsid w:val="39E6B77A"/>
    <w:rsid w:val="39E9C3F0"/>
    <w:rsid w:val="39ED50C9"/>
    <w:rsid w:val="39FDDB7C"/>
    <w:rsid w:val="39FE8444"/>
    <w:rsid w:val="3A1B0B63"/>
    <w:rsid w:val="3A3F9A4A"/>
    <w:rsid w:val="3A574DBE"/>
    <w:rsid w:val="3AA19E5A"/>
    <w:rsid w:val="3ABC244F"/>
    <w:rsid w:val="3AC1C9D9"/>
    <w:rsid w:val="3AEDB69C"/>
    <w:rsid w:val="3B05F18E"/>
    <w:rsid w:val="3B3F0E78"/>
    <w:rsid w:val="3B470ACA"/>
    <w:rsid w:val="3B75674E"/>
    <w:rsid w:val="3B75CED0"/>
    <w:rsid w:val="3B943D9D"/>
    <w:rsid w:val="3B947A2F"/>
    <w:rsid w:val="3B99ABDD"/>
    <w:rsid w:val="3BC00D84"/>
    <w:rsid w:val="3BCBC371"/>
    <w:rsid w:val="3BF966C8"/>
    <w:rsid w:val="3C066CFC"/>
    <w:rsid w:val="3C1C6FFB"/>
    <w:rsid w:val="3C74197D"/>
    <w:rsid w:val="3C93442E"/>
    <w:rsid w:val="3CA61D7F"/>
    <w:rsid w:val="3CAD2AC9"/>
    <w:rsid w:val="3CB999B8"/>
    <w:rsid w:val="3CC03052"/>
    <w:rsid w:val="3CC0C049"/>
    <w:rsid w:val="3CC9682C"/>
    <w:rsid w:val="3CE0A3AD"/>
    <w:rsid w:val="3CE301A9"/>
    <w:rsid w:val="3CEEE7AB"/>
    <w:rsid w:val="3D03C315"/>
    <w:rsid w:val="3D258C37"/>
    <w:rsid w:val="3D36F226"/>
    <w:rsid w:val="3D42C561"/>
    <w:rsid w:val="3D58B40F"/>
    <w:rsid w:val="3D6E3592"/>
    <w:rsid w:val="3D6E91B2"/>
    <w:rsid w:val="3D6F5F6F"/>
    <w:rsid w:val="3D77B84B"/>
    <w:rsid w:val="3D9B9E33"/>
    <w:rsid w:val="3DA1A3D6"/>
    <w:rsid w:val="3DB29847"/>
    <w:rsid w:val="3DBC0040"/>
    <w:rsid w:val="3DCA1172"/>
    <w:rsid w:val="3DE84DFE"/>
    <w:rsid w:val="3DF01C8D"/>
    <w:rsid w:val="3DF089C2"/>
    <w:rsid w:val="3E07E1E9"/>
    <w:rsid w:val="3E1A4BF3"/>
    <w:rsid w:val="3E2A7F28"/>
    <w:rsid w:val="3E4299A4"/>
    <w:rsid w:val="3E4BBC1E"/>
    <w:rsid w:val="3E63A7BA"/>
    <w:rsid w:val="3E74869E"/>
    <w:rsid w:val="3E9B3E21"/>
    <w:rsid w:val="3ED916B0"/>
    <w:rsid w:val="3EEACE62"/>
    <w:rsid w:val="3EEF20E0"/>
    <w:rsid w:val="3EFCFEA2"/>
    <w:rsid w:val="3F1D8C88"/>
    <w:rsid w:val="3F69B18F"/>
    <w:rsid w:val="3F8920E6"/>
    <w:rsid w:val="3FA10584"/>
    <w:rsid w:val="3FBF465A"/>
    <w:rsid w:val="3FE1992A"/>
    <w:rsid w:val="3FEAABA5"/>
    <w:rsid w:val="3FEECAD2"/>
    <w:rsid w:val="3FF51353"/>
    <w:rsid w:val="40126BD7"/>
    <w:rsid w:val="40136A53"/>
    <w:rsid w:val="4015DFAF"/>
    <w:rsid w:val="402A7C8A"/>
    <w:rsid w:val="4039F22F"/>
    <w:rsid w:val="4041C5B0"/>
    <w:rsid w:val="405459BA"/>
    <w:rsid w:val="40634F1D"/>
    <w:rsid w:val="408A82B7"/>
    <w:rsid w:val="408D688D"/>
    <w:rsid w:val="40A48CCC"/>
    <w:rsid w:val="40B4E55D"/>
    <w:rsid w:val="40CE1A96"/>
    <w:rsid w:val="40D1D9E2"/>
    <w:rsid w:val="40EF5B7F"/>
    <w:rsid w:val="40FCA318"/>
    <w:rsid w:val="412842A5"/>
    <w:rsid w:val="412CF7C6"/>
    <w:rsid w:val="4136479B"/>
    <w:rsid w:val="413FCA10"/>
    <w:rsid w:val="415DDE9A"/>
    <w:rsid w:val="4185E92E"/>
    <w:rsid w:val="418767CE"/>
    <w:rsid w:val="4187996B"/>
    <w:rsid w:val="4192B2D6"/>
    <w:rsid w:val="419F2D03"/>
    <w:rsid w:val="41A557A6"/>
    <w:rsid w:val="41D6C50A"/>
    <w:rsid w:val="41EFC4BA"/>
    <w:rsid w:val="42019914"/>
    <w:rsid w:val="421077A5"/>
    <w:rsid w:val="424C5411"/>
    <w:rsid w:val="424EDC01"/>
    <w:rsid w:val="425C4796"/>
    <w:rsid w:val="428C5438"/>
    <w:rsid w:val="429165CE"/>
    <w:rsid w:val="429A47F7"/>
    <w:rsid w:val="42A765C5"/>
    <w:rsid w:val="42ACB4EC"/>
    <w:rsid w:val="42BA9025"/>
    <w:rsid w:val="42C5C269"/>
    <w:rsid w:val="42C8B339"/>
    <w:rsid w:val="42CA5921"/>
    <w:rsid w:val="42D93773"/>
    <w:rsid w:val="42E5D1D9"/>
    <w:rsid w:val="42F04D67"/>
    <w:rsid w:val="42F563D0"/>
    <w:rsid w:val="43013CD5"/>
    <w:rsid w:val="430E3A54"/>
    <w:rsid w:val="43302D64"/>
    <w:rsid w:val="434F36B5"/>
    <w:rsid w:val="434FB9C0"/>
    <w:rsid w:val="4356C4B2"/>
    <w:rsid w:val="43618B9A"/>
    <w:rsid w:val="4362763E"/>
    <w:rsid w:val="436FD4F6"/>
    <w:rsid w:val="4382CF07"/>
    <w:rsid w:val="43CD4676"/>
    <w:rsid w:val="43DCDA03"/>
    <w:rsid w:val="43E2466C"/>
    <w:rsid w:val="43ECA1D6"/>
    <w:rsid w:val="43EFF1ED"/>
    <w:rsid w:val="440E7D98"/>
    <w:rsid w:val="445A6229"/>
    <w:rsid w:val="44918503"/>
    <w:rsid w:val="449D3932"/>
    <w:rsid w:val="449F9F34"/>
    <w:rsid w:val="44CF9FC1"/>
    <w:rsid w:val="44DBB9FE"/>
    <w:rsid w:val="44F16D8A"/>
    <w:rsid w:val="455888AE"/>
    <w:rsid w:val="455CDEB5"/>
    <w:rsid w:val="455F5560"/>
    <w:rsid w:val="45763023"/>
    <w:rsid w:val="45810954"/>
    <w:rsid w:val="4586932D"/>
    <w:rsid w:val="458EA968"/>
    <w:rsid w:val="459EE0AD"/>
    <w:rsid w:val="45AB0378"/>
    <w:rsid w:val="45AD2086"/>
    <w:rsid w:val="45AE043D"/>
    <w:rsid w:val="45BAD134"/>
    <w:rsid w:val="45D0699F"/>
    <w:rsid w:val="45EF8B0A"/>
    <w:rsid w:val="45F28156"/>
    <w:rsid w:val="4603776C"/>
    <w:rsid w:val="4662461C"/>
    <w:rsid w:val="4664117A"/>
    <w:rsid w:val="468633FD"/>
    <w:rsid w:val="468EE4B6"/>
    <w:rsid w:val="46AD13B0"/>
    <w:rsid w:val="46B4A182"/>
    <w:rsid w:val="46FF5B19"/>
    <w:rsid w:val="470AF25B"/>
    <w:rsid w:val="470C7F58"/>
    <w:rsid w:val="471721D0"/>
    <w:rsid w:val="47461DAC"/>
    <w:rsid w:val="474BAC7A"/>
    <w:rsid w:val="47864B66"/>
    <w:rsid w:val="479A167D"/>
    <w:rsid w:val="47A41F51"/>
    <w:rsid w:val="47AF6C4F"/>
    <w:rsid w:val="47B454D0"/>
    <w:rsid w:val="47CC838A"/>
    <w:rsid w:val="47F29304"/>
    <w:rsid w:val="47F9FC32"/>
    <w:rsid w:val="4814BB14"/>
    <w:rsid w:val="4817DD54"/>
    <w:rsid w:val="4867D12B"/>
    <w:rsid w:val="48BE01F2"/>
    <w:rsid w:val="48FF187A"/>
    <w:rsid w:val="49158DFC"/>
    <w:rsid w:val="492437D4"/>
    <w:rsid w:val="496656ED"/>
    <w:rsid w:val="496FC546"/>
    <w:rsid w:val="497955FE"/>
    <w:rsid w:val="4979BC54"/>
    <w:rsid w:val="498287A3"/>
    <w:rsid w:val="498D607F"/>
    <w:rsid w:val="49AD90F4"/>
    <w:rsid w:val="49AF7828"/>
    <w:rsid w:val="49B19573"/>
    <w:rsid w:val="49C411E8"/>
    <w:rsid w:val="49C76834"/>
    <w:rsid w:val="49CD67AE"/>
    <w:rsid w:val="49D545BD"/>
    <w:rsid w:val="49FC8A1D"/>
    <w:rsid w:val="4A00323D"/>
    <w:rsid w:val="4A02B539"/>
    <w:rsid w:val="4A05A125"/>
    <w:rsid w:val="4A07E755"/>
    <w:rsid w:val="4A137519"/>
    <w:rsid w:val="4A4C5E5D"/>
    <w:rsid w:val="4A537C9A"/>
    <w:rsid w:val="4A57D3FA"/>
    <w:rsid w:val="4A6641E2"/>
    <w:rsid w:val="4A6FB830"/>
    <w:rsid w:val="4A7852A8"/>
    <w:rsid w:val="4A7DB6FB"/>
    <w:rsid w:val="4A986A82"/>
    <w:rsid w:val="4AB688F5"/>
    <w:rsid w:val="4ABA7353"/>
    <w:rsid w:val="4AC64DB6"/>
    <w:rsid w:val="4AD2EAEF"/>
    <w:rsid w:val="4AE573F9"/>
    <w:rsid w:val="4B298A19"/>
    <w:rsid w:val="4B2FA31C"/>
    <w:rsid w:val="4B4CDEE5"/>
    <w:rsid w:val="4B5CFDB8"/>
    <w:rsid w:val="4B9E9543"/>
    <w:rsid w:val="4BA9C8D9"/>
    <w:rsid w:val="4BB58844"/>
    <w:rsid w:val="4BF5AD02"/>
    <w:rsid w:val="4C2A3360"/>
    <w:rsid w:val="4C2A4B54"/>
    <w:rsid w:val="4C4C9972"/>
    <w:rsid w:val="4C6BDD4E"/>
    <w:rsid w:val="4CA8BC95"/>
    <w:rsid w:val="4CADA710"/>
    <w:rsid w:val="4CD7E30C"/>
    <w:rsid w:val="4CF936A4"/>
    <w:rsid w:val="4CFFD2F5"/>
    <w:rsid w:val="4D112674"/>
    <w:rsid w:val="4D6D3EC4"/>
    <w:rsid w:val="4D74AC83"/>
    <w:rsid w:val="4D7793AF"/>
    <w:rsid w:val="4D88CB9F"/>
    <w:rsid w:val="4DBE249B"/>
    <w:rsid w:val="4DC66257"/>
    <w:rsid w:val="4DD2BB98"/>
    <w:rsid w:val="4DE422B5"/>
    <w:rsid w:val="4DE46B3C"/>
    <w:rsid w:val="4DFD39F9"/>
    <w:rsid w:val="4E02A915"/>
    <w:rsid w:val="4E32EE6A"/>
    <w:rsid w:val="4E44E8D9"/>
    <w:rsid w:val="4E45F77F"/>
    <w:rsid w:val="4E72335A"/>
    <w:rsid w:val="4E735D21"/>
    <w:rsid w:val="4EA06D68"/>
    <w:rsid w:val="4EA1FA7D"/>
    <w:rsid w:val="4EE05E5D"/>
    <w:rsid w:val="4EE49054"/>
    <w:rsid w:val="4EE8DCB1"/>
    <w:rsid w:val="4F05DAE1"/>
    <w:rsid w:val="4F103301"/>
    <w:rsid w:val="4F44E6D3"/>
    <w:rsid w:val="4F4F86AD"/>
    <w:rsid w:val="4FAFE982"/>
    <w:rsid w:val="4FB200EA"/>
    <w:rsid w:val="4FC4AFAD"/>
    <w:rsid w:val="4FF4C237"/>
    <w:rsid w:val="503186FF"/>
    <w:rsid w:val="506518F5"/>
    <w:rsid w:val="506E67F9"/>
    <w:rsid w:val="50808BB6"/>
    <w:rsid w:val="5081E9C5"/>
    <w:rsid w:val="50A12D00"/>
    <w:rsid w:val="50A30B65"/>
    <w:rsid w:val="50B43CF7"/>
    <w:rsid w:val="50BB5DCE"/>
    <w:rsid w:val="50F2EAFB"/>
    <w:rsid w:val="50F4348B"/>
    <w:rsid w:val="512ABCDE"/>
    <w:rsid w:val="51463DFB"/>
    <w:rsid w:val="51494F4C"/>
    <w:rsid w:val="5159DC02"/>
    <w:rsid w:val="51673EE4"/>
    <w:rsid w:val="517E16B5"/>
    <w:rsid w:val="5183FB2F"/>
    <w:rsid w:val="51AD4502"/>
    <w:rsid w:val="51CC8678"/>
    <w:rsid w:val="51CD3026"/>
    <w:rsid w:val="51E806F2"/>
    <w:rsid w:val="51EC6824"/>
    <w:rsid w:val="51F4CD1F"/>
    <w:rsid w:val="51FBB2B9"/>
    <w:rsid w:val="5206EC12"/>
    <w:rsid w:val="52240EBD"/>
    <w:rsid w:val="52394FCE"/>
    <w:rsid w:val="523F760D"/>
    <w:rsid w:val="52411605"/>
    <w:rsid w:val="5288AB96"/>
    <w:rsid w:val="52AC5C5B"/>
    <w:rsid w:val="52AF8427"/>
    <w:rsid w:val="52B7D399"/>
    <w:rsid w:val="52D0C572"/>
    <w:rsid w:val="5301B373"/>
    <w:rsid w:val="530DBC72"/>
    <w:rsid w:val="53448E49"/>
    <w:rsid w:val="534DE3EC"/>
    <w:rsid w:val="539B006B"/>
    <w:rsid w:val="539E4C95"/>
    <w:rsid w:val="53AD2BE4"/>
    <w:rsid w:val="53BB0155"/>
    <w:rsid w:val="53C1DC9A"/>
    <w:rsid w:val="54143D96"/>
    <w:rsid w:val="5417EA29"/>
    <w:rsid w:val="541F5F1A"/>
    <w:rsid w:val="545FC64B"/>
    <w:rsid w:val="546EE5C1"/>
    <w:rsid w:val="5477FD14"/>
    <w:rsid w:val="548E6E2C"/>
    <w:rsid w:val="549D572C"/>
    <w:rsid w:val="54CFD317"/>
    <w:rsid w:val="54E54466"/>
    <w:rsid w:val="54FEA7E5"/>
    <w:rsid w:val="5500BC3E"/>
    <w:rsid w:val="5510EDD5"/>
    <w:rsid w:val="552F7771"/>
    <w:rsid w:val="5572FFD9"/>
    <w:rsid w:val="557A0EAD"/>
    <w:rsid w:val="55B67F30"/>
    <w:rsid w:val="55BAABAE"/>
    <w:rsid w:val="55BBDE5A"/>
    <w:rsid w:val="56011A34"/>
    <w:rsid w:val="56241C9C"/>
    <w:rsid w:val="56491AFC"/>
    <w:rsid w:val="565DAFEC"/>
    <w:rsid w:val="567EC346"/>
    <w:rsid w:val="567FF95E"/>
    <w:rsid w:val="56825CE2"/>
    <w:rsid w:val="56A0561E"/>
    <w:rsid w:val="56A5C764"/>
    <w:rsid w:val="56B12F62"/>
    <w:rsid w:val="56C314E8"/>
    <w:rsid w:val="56E497B1"/>
    <w:rsid w:val="56EAA7EC"/>
    <w:rsid w:val="56F66693"/>
    <w:rsid w:val="56F97940"/>
    <w:rsid w:val="5705ED90"/>
    <w:rsid w:val="5714CAB2"/>
    <w:rsid w:val="572555C4"/>
    <w:rsid w:val="573366F9"/>
    <w:rsid w:val="573F16F9"/>
    <w:rsid w:val="5746CC27"/>
    <w:rsid w:val="57483B6E"/>
    <w:rsid w:val="5752DB01"/>
    <w:rsid w:val="575CE9D9"/>
    <w:rsid w:val="57637CF4"/>
    <w:rsid w:val="578A965E"/>
    <w:rsid w:val="5791ACF2"/>
    <w:rsid w:val="57AA9746"/>
    <w:rsid w:val="57BFDDA4"/>
    <w:rsid w:val="57CD1CE4"/>
    <w:rsid w:val="57E12281"/>
    <w:rsid w:val="5806EF21"/>
    <w:rsid w:val="5807E91A"/>
    <w:rsid w:val="58080301"/>
    <w:rsid w:val="5812B607"/>
    <w:rsid w:val="586F1042"/>
    <w:rsid w:val="588ACAA2"/>
    <w:rsid w:val="5890C970"/>
    <w:rsid w:val="589DC011"/>
    <w:rsid w:val="58B85431"/>
    <w:rsid w:val="58B90304"/>
    <w:rsid w:val="58C83E93"/>
    <w:rsid w:val="58CE34AA"/>
    <w:rsid w:val="58FD6658"/>
    <w:rsid w:val="5921C501"/>
    <w:rsid w:val="5927E58F"/>
    <w:rsid w:val="59329C11"/>
    <w:rsid w:val="593A047E"/>
    <w:rsid w:val="593ACD06"/>
    <w:rsid w:val="5950B4EE"/>
    <w:rsid w:val="596D6235"/>
    <w:rsid w:val="59B26BCA"/>
    <w:rsid w:val="59C514AC"/>
    <w:rsid w:val="59CD0DAF"/>
    <w:rsid w:val="59E5E24A"/>
    <w:rsid w:val="5A29D055"/>
    <w:rsid w:val="5A381E41"/>
    <w:rsid w:val="5A56E700"/>
    <w:rsid w:val="5A602736"/>
    <w:rsid w:val="5A63ED0C"/>
    <w:rsid w:val="5A6C60BE"/>
    <w:rsid w:val="5A707CDF"/>
    <w:rsid w:val="5B0AFC49"/>
    <w:rsid w:val="5B2BC2C9"/>
    <w:rsid w:val="5B2CD717"/>
    <w:rsid w:val="5B396A3A"/>
    <w:rsid w:val="5B5496D5"/>
    <w:rsid w:val="5B58DD05"/>
    <w:rsid w:val="5B5AFEBB"/>
    <w:rsid w:val="5B86DA35"/>
    <w:rsid w:val="5B902B9B"/>
    <w:rsid w:val="5B9CAB85"/>
    <w:rsid w:val="5BA6B9DC"/>
    <w:rsid w:val="5BB89DCF"/>
    <w:rsid w:val="5BC2336C"/>
    <w:rsid w:val="5C07AF3B"/>
    <w:rsid w:val="5C216654"/>
    <w:rsid w:val="5C2E646C"/>
    <w:rsid w:val="5C325A96"/>
    <w:rsid w:val="5C50E6D5"/>
    <w:rsid w:val="5C6B6FA8"/>
    <w:rsid w:val="5C8A56F1"/>
    <w:rsid w:val="5C8B2399"/>
    <w:rsid w:val="5CC921B0"/>
    <w:rsid w:val="5CCBAC83"/>
    <w:rsid w:val="5CD1EB88"/>
    <w:rsid w:val="5CD263F6"/>
    <w:rsid w:val="5CD5965E"/>
    <w:rsid w:val="5CD60DF7"/>
    <w:rsid w:val="5CDA2792"/>
    <w:rsid w:val="5CDDAF95"/>
    <w:rsid w:val="5D0A5635"/>
    <w:rsid w:val="5D496820"/>
    <w:rsid w:val="5D55E44F"/>
    <w:rsid w:val="5D61B504"/>
    <w:rsid w:val="5D76D81A"/>
    <w:rsid w:val="5D8FA64A"/>
    <w:rsid w:val="5DCE7A23"/>
    <w:rsid w:val="5DCE88A4"/>
    <w:rsid w:val="5DEAFABA"/>
    <w:rsid w:val="5DF6FCF1"/>
    <w:rsid w:val="5E15A685"/>
    <w:rsid w:val="5E2AB1E7"/>
    <w:rsid w:val="5E2DCFFF"/>
    <w:rsid w:val="5E426792"/>
    <w:rsid w:val="5E8B8981"/>
    <w:rsid w:val="5E8EA8D2"/>
    <w:rsid w:val="5EA470D2"/>
    <w:rsid w:val="5EBD11F5"/>
    <w:rsid w:val="5EF9EBF2"/>
    <w:rsid w:val="5EF9F90A"/>
    <w:rsid w:val="5F04BEE2"/>
    <w:rsid w:val="5F5134F0"/>
    <w:rsid w:val="5F63CD58"/>
    <w:rsid w:val="5F670C4B"/>
    <w:rsid w:val="5F684E20"/>
    <w:rsid w:val="5FA9F2AF"/>
    <w:rsid w:val="5FCF1EA9"/>
    <w:rsid w:val="5FD1E8BA"/>
    <w:rsid w:val="5FD52576"/>
    <w:rsid w:val="5FFB72D5"/>
    <w:rsid w:val="605221D7"/>
    <w:rsid w:val="6085411A"/>
    <w:rsid w:val="60B1DB5B"/>
    <w:rsid w:val="60C5E8FB"/>
    <w:rsid w:val="60D469A6"/>
    <w:rsid w:val="6124FDBF"/>
    <w:rsid w:val="612CABE2"/>
    <w:rsid w:val="6169C957"/>
    <w:rsid w:val="619FB3CB"/>
    <w:rsid w:val="61B00AD0"/>
    <w:rsid w:val="61BF8B2F"/>
    <w:rsid w:val="61F74F35"/>
    <w:rsid w:val="620CB61F"/>
    <w:rsid w:val="6245C8F4"/>
    <w:rsid w:val="624BD2D1"/>
    <w:rsid w:val="62508AB3"/>
    <w:rsid w:val="62620225"/>
    <w:rsid w:val="62653B4E"/>
    <w:rsid w:val="626E2964"/>
    <w:rsid w:val="62714D5D"/>
    <w:rsid w:val="6274BAC8"/>
    <w:rsid w:val="627D0441"/>
    <w:rsid w:val="629CFA11"/>
    <w:rsid w:val="62AAD7F9"/>
    <w:rsid w:val="62C76569"/>
    <w:rsid w:val="62DD29BB"/>
    <w:rsid w:val="62F8BF3D"/>
    <w:rsid w:val="63120B24"/>
    <w:rsid w:val="635594C5"/>
    <w:rsid w:val="6359D95E"/>
    <w:rsid w:val="635B8C32"/>
    <w:rsid w:val="63677A4E"/>
    <w:rsid w:val="636FF965"/>
    <w:rsid w:val="63939CDB"/>
    <w:rsid w:val="63C20039"/>
    <w:rsid w:val="640A97B0"/>
    <w:rsid w:val="640ABC3D"/>
    <w:rsid w:val="6438F453"/>
    <w:rsid w:val="64408C5A"/>
    <w:rsid w:val="644A5C36"/>
    <w:rsid w:val="644FA6DE"/>
    <w:rsid w:val="64C46B07"/>
    <w:rsid w:val="64E5BCD3"/>
    <w:rsid w:val="64FC957D"/>
    <w:rsid w:val="651C20C4"/>
    <w:rsid w:val="651DDD4C"/>
    <w:rsid w:val="6543F0DE"/>
    <w:rsid w:val="6547CDD7"/>
    <w:rsid w:val="65534D29"/>
    <w:rsid w:val="65AADE22"/>
    <w:rsid w:val="65B058FC"/>
    <w:rsid w:val="65B6B1A9"/>
    <w:rsid w:val="66088670"/>
    <w:rsid w:val="660A788F"/>
    <w:rsid w:val="66297C9D"/>
    <w:rsid w:val="66358C0B"/>
    <w:rsid w:val="666EBC1D"/>
    <w:rsid w:val="667A87D9"/>
    <w:rsid w:val="6689E1C8"/>
    <w:rsid w:val="668D4C74"/>
    <w:rsid w:val="66B30885"/>
    <w:rsid w:val="66CF3F3A"/>
    <w:rsid w:val="66DAB113"/>
    <w:rsid w:val="66DAFD65"/>
    <w:rsid w:val="67597122"/>
    <w:rsid w:val="678086BC"/>
    <w:rsid w:val="67B0B59F"/>
    <w:rsid w:val="67CB2FCE"/>
    <w:rsid w:val="67CC8FC7"/>
    <w:rsid w:val="67DDDC23"/>
    <w:rsid w:val="67ED359B"/>
    <w:rsid w:val="681BE82A"/>
    <w:rsid w:val="682FCEFF"/>
    <w:rsid w:val="68385119"/>
    <w:rsid w:val="683C03B0"/>
    <w:rsid w:val="68A259DB"/>
    <w:rsid w:val="68A9D406"/>
    <w:rsid w:val="68B1DEFD"/>
    <w:rsid w:val="68C85E06"/>
    <w:rsid w:val="68C865D0"/>
    <w:rsid w:val="69139561"/>
    <w:rsid w:val="694849E2"/>
    <w:rsid w:val="694C5AB4"/>
    <w:rsid w:val="695809E8"/>
    <w:rsid w:val="6979FCC4"/>
    <w:rsid w:val="69894B48"/>
    <w:rsid w:val="69AC0ED3"/>
    <w:rsid w:val="69CB67B1"/>
    <w:rsid w:val="69CD1122"/>
    <w:rsid w:val="69D4120D"/>
    <w:rsid w:val="69EAC499"/>
    <w:rsid w:val="69FDC2EB"/>
    <w:rsid w:val="6A19E3DE"/>
    <w:rsid w:val="6A464EA2"/>
    <w:rsid w:val="6A5ADA7D"/>
    <w:rsid w:val="6A6B1854"/>
    <w:rsid w:val="6A728EC9"/>
    <w:rsid w:val="6A79F488"/>
    <w:rsid w:val="6A80CADA"/>
    <w:rsid w:val="6AC2A4A1"/>
    <w:rsid w:val="6AC81940"/>
    <w:rsid w:val="6ACED1B2"/>
    <w:rsid w:val="6AD37536"/>
    <w:rsid w:val="6AE23788"/>
    <w:rsid w:val="6AE432BE"/>
    <w:rsid w:val="6AFCA8EE"/>
    <w:rsid w:val="6B075E2C"/>
    <w:rsid w:val="6B0C3BE9"/>
    <w:rsid w:val="6B17FD23"/>
    <w:rsid w:val="6B1A2AF8"/>
    <w:rsid w:val="6B29C7F2"/>
    <w:rsid w:val="6B3C888B"/>
    <w:rsid w:val="6B76872E"/>
    <w:rsid w:val="6B7D52A2"/>
    <w:rsid w:val="6BAC0FBF"/>
    <w:rsid w:val="6BC5B9D6"/>
    <w:rsid w:val="6BCAE2EB"/>
    <w:rsid w:val="6BF1B569"/>
    <w:rsid w:val="6BF97EB8"/>
    <w:rsid w:val="6C04E18F"/>
    <w:rsid w:val="6C123D17"/>
    <w:rsid w:val="6C267696"/>
    <w:rsid w:val="6C2FB698"/>
    <w:rsid w:val="6C484219"/>
    <w:rsid w:val="6C58B8A9"/>
    <w:rsid w:val="6C68D312"/>
    <w:rsid w:val="6C72F022"/>
    <w:rsid w:val="6C744508"/>
    <w:rsid w:val="6C7A42B7"/>
    <w:rsid w:val="6C86DA34"/>
    <w:rsid w:val="6CAFE13E"/>
    <w:rsid w:val="6CC3F8CC"/>
    <w:rsid w:val="6CDB1A13"/>
    <w:rsid w:val="6CDBFEE5"/>
    <w:rsid w:val="6CF597F9"/>
    <w:rsid w:val="6D24AE98"/>
    <w:rsid w:val="6D3A7512"/>
    <w:rsid w:val="6D719555"/>
    <w:rsid w:val="6DDEDEB0"/>
    <w:rsid w:val="6E14A284"/>
    <w:rsid w:val="6E32C96D"/>
    <w:rsid w:val="6E6C1962"/>
    <w:rsid w:val="6E7410E1"/>
    <w:rsid w:val="6E8609AE"/>
    <w:rsid w:val="6ECBD0AD"/>
    <w:rsid w:val="6EDD7B1D"/>
    <w:rsid w:val="6EF53576"/>
    <w:rsid w:val="6EFD250F"/>
    <w:rsid w:val="6F4D889B"/>
    <w:rsid w:val="6F65A82E"/>
    <w:rsid w:val="6F7F9908"/>
    <w:rsid w:val="6F9DC4C2"/>
    <w:rsid w:val="6F9EF276"/>
    <w:rsid w:val="6FCFCEC7"/>
    <w:rsid w:val="6FEB2983"/>
    <w:rsid w:val="6FEB4961"/>
    <w:rsid w:val="70419409"/>
    <w:rsid w:val="705863F9"/>
    <w:rsid w:val="707A876F"/>
    <w:rsid w:val="70A02821"/>
    <w:rsid w:val="70B4AC52"/>
    <w:rsid w:val="70B782E5"/>
    <w:rsid w:val="70C922A6"/>
    <w:rsid w:val="70DD1010"/>
    <w:rsid w:val="70FE567B"/>
    <w:rsid w:val="710F0C47"/>
    <w:rsid w:val="7115525C"/>
    <w:rsid w:val="71211BF2"/>
    <w:rsid w:val="712DDAFC"/>
    <w:rsid w:val="71407441"/>
    <w:rsid w:val="71559624"/>
    <w:rsid w:val="7155ADA5"/>
    <w:rsid w:val="71652BBE"/>
    <w:rsid w:val="716F2890"/>
    <w:rsid w:val="717B8571"/>
    <w:rsid w:val="7181B1B8"/>
    <w:rsid w:val="7186CF84"/>
    <w:rsid w:val="718D55D3"/>
    <w:rsid w:val="71A14EA6"/>
    <w:rsid w:val="71E7F506"/>
    <w:rsid w:val="720D53EC"/>
    <w:rsid w:val="722EE4D6"/>
    <w:rsid w:val="723D4BA7"/>
    <w:rsid w:val="723D8CEE"/>
    <w:rsid w:val="7249F80D"/>
    <w:rsid w:val="72A07E30"/>
    <w:rsid w:val="72E01239"/>
    <w:rsid w:val="72E01ABF"/>
    <w:rsid w:val="72E6ECC8"/>
    <w:rsid w:val="72FA83C3"/>
    <w:rsid w:val="7300209F"/>
    <w:rsid w:val="730AF35A"/>
    <w:rsid w:val="731D387D"/>
    <w:rsid w:val="73238CA4"/>
    <w:rsid w:val="7339A3B1"/>
    <w:rsid w:val="735194F0"/>
    <w:rsid w:val="73724F1F"/>
    <w:rsid w:val="7373349B"/>
    <w:rsid w:val="73A018A7"/>
    <w:rsid w:val="73A29F6B"/>
    <w:rsid w:val="73A8920B"/>
    <w:rsid w:val="73E181D9"/>
    <w:rsid w:val="7402AB83"/>
    <w:rsid w:val="74118F98"/>
    <w:rsid w:val="74280726"/>
    <w:rsid w:val="74424773"/>
    <w:rsid w:val="74784D8E"/>
    <w:rsid w:val="7495CA9C"/>
    <w:rsid w:val="74C70E21"/>
    <w:rsid w:val="74D46EA1"/>
    <w:rsid w:val="74E3AB08"/>
    <w:rsid w:val="74EB7A3F"/>
    <w:rsid w:val="750B5287"/>
    <w:rsid w:val="756CA50C"/>
    <w:rsid w:val="7570192D"/>
    <w:rsid w:val="757D33C1"/>
    <w:rsid w:val="75AC6703"/>
    <w:rsid w:val="75C91B36"/>
    <w:rsid w:val="75CE070C"/>
    <w:rsid w:val="75DD4A2B"/>
    <w:rsid w:val="75E8004B"/>
    <w:rsid w:val="75EDC510"/>
    <w:rsid w:val="75F058EA"/>
    <w:rsid w:val="75F367C5"/>
    <w:rsid w:val="763E6794"/>
    <w:rsid w:val="764B3DD6"/>
    <w:rsid w:val="7657AB4E"/>
    <w:rsid w:val="766CDC8F"/>
    <w:rsid w:val="767FDFB7"/>
    <w:rsid w:val="768C6E53"/>
    <w:rsid w:val="76937699"/>
    <w:rsid w:val="76B801F8"/>
    <w:rsid w:val="76BE07FE"/>
    <w:rsid w:val="76D1AFB1"/>
    <w:rsid w:val="77010378"/>
    <w:rsid w:val="770C2ED4"/>
    <w:rsid w:val="771907EA"/>
    <w:rsid w:val="77241D49"/>
    <w:rsid w:val="773B7981"/>
    <w:rsid w:val="77656D07"/>
    <w:rsid w:val="777EC37D"/>
    <w:rsid w:val="7784F0A3"/>
    <w:rsid w:val="7790BBA3"/>
    <w:rsid w:val="77999DF2"/>
    <w:rsid w:val="77AC2A90"/>
    <w:rsid w:val="77F3C6C3"/>
    <w:rsid w:val="780467C9"/>
    <w:rsid w:val="782B63D5"/>
    <w:rsid w:val="78612B4B"/>
    <w:rsid w:val="786F936E"/>
    <w:rsid w:val="78727011"/>
    <w:rsid w:val="7875CACE"/>
    <w:rsid w:val="789A45D6"/>
    <w:rsid w:val="78B01C98"/>
    <w:rsid w:val="78B5CCAE"/>
    <w:rsid w:val="78D7F2CF"/>
    <w:rsid w:val="78E314F8"/>
    <w:rsid w:val="78F0AA08"/>
    <w:rsid w:val="78F58243"/>
    <w:rsid w:val="79081A3A"/>
    <w:rsid w:val="7910620F"/>
    <w:rsid w:val="7927C826"/>
    <w:rsid w:val="7939639B"/>
    <w:rsid w:val="795D0A4E"/>
    <w:rsid w:val="7965D488"/>
    <w:rsid w:val="797F9FC3"/>
    <w:rsid w:val="79BCEFCF"/>
    <w:rsid w:val="79C0E3AA"/>
    <w:rsid w:val="79F574FF"/>
    <w:rsid w:val="7A0E38FD"/>
    <w:rsid w:val="7A1A60BB"/>
    <w:rsid w:val="7A1E2CB5"/>
    <w:rsid w:val="7A2E94B1"/>
    <w:rsid w:val="7A314362"/>
    <w:rsid w:val="7A4DE6C4"/>
    <w:rsid w:val="7A896DD9"/>
    <w:rsid w:val="7AC80DE9"/>
    <w:rsid w:val="7AEEAA53"/>
    <w:rsid w:val="7B22ED09"/>
    <w:rsid w:val="7B514FC9"/>
    <w:rsid w:val="7B5ADD15"/>
    <w:rsid w:val="7B5E3B36"/>
    <w:rsid w:val="7B5F101A"/>
    <w:rsid w:val="7B79ABA6"/>
    <w:rsid w:val="7B7A1D29"/>
    <w:rsid w:val="7BE2558B"/>
    <w:rsid w:val="7C0E7EA5"/>
    <w:rsid w:val="7C16EDA4"/>
    <w:rsid w:val="7C284ACA"/>
    <w:rsid w:val="7C392ED5"/>
    <w:rsid w:val="7C4494AF"/>
    <w:rsid w:val="7C480D8A"/>
    <w:rsid w:val="7C6E5870"/>
    <w:rsid w:val="7C841BE6"/>
    <w:rsid w:val="7C84F2EB"/>
    <w:rsid w:val="7C86DC9E"/>
    <w:rsid w:val="7CD06EBB"/>
    <w:rsid w:val="7CEDB34B"/>
    <w:rsid w:val="7CEF9447"/>
    <w:rsid w:val="7CF0935D"/>
    <w:rsid w:val="7CFAD78E"/>
    <w:rsid w:val="7CFD058C"/>
    <w:rsid w:val="7D07DAAD"/>
    <w:rsid w:val="7D1703C1"/>
    <w:rsid w:val="7D1A5F2F"/>
    <w:rsid w:val="7D85FBB6"/>
    <w:rsid w:val="7D87EAF1"/>
    <w:rsid w:val="7D900553"/>
    <w:rsid w:val="7D9B3677"/>
    <w:rsid w:val="7DA2E07C"/>
    <w:rsid w:val="7DA51406"/>
    <w:rsid w:val="7DBF8594"/>
    <w:rsid w:val="7DD7F5A9"/>
    <w:rsid w:val="7DF371DD"/>
    <w:rsid w:val="7E09E1A5"/>
    <w:rsid w:val="7E2A2387"/>
    <w:rsid w:val="7E2D80FF"/>
    <w:rsid w:val="7E45F055"/>
    <w:rsid w:val="7E5C93C9"/>
    <w:rsid w:val="7E666F1A"/>
    <w:rsid w:val="7E71822F"/>
    <w:rsid w:val="7E7D5D4D"/>
    <w:rsid w:val="7EA4420A"/>
    <w:rsid w:val="7EAA50B6"/>
    <w:rsid w:val="7EB68207"/>
    <w:rsid w:val="7ED8BE2D"/>
    <w:rsid w:val="7EDDC2EB"/>
    <w:rsid w:val="7EE04FD0"/>
    <w:rsid w:val="7EEB2214"/>
    <w:rsid w:val="7EF8EF0E"/>
    <w:rsid w:val="7F147300"/>
    <w:rsid w:val="7F2A9DBD"/>
    <w:rsid w:val="7F6CCB5A"/>
    <w:rsid w:val="7F6FC258"/>
    <w:rsid w:val="7F6FCAF6"/>
    <w:rsid w:val="7F93EB45"/>
    <w:rsid w:val="7F978F81"/>
    <w:rsid w:val="7FD4359E"/>
    <w:rsid w:val="7FDA01CF"/>
    <w:rsid w:val="7FF7F82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E46C"/>
  <w15:chartTrackingRefBased/>
  <w15:docId w15:val="{96A99FDE-FC26-4A18-B378-694DAB42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92ADAC3"/>
  </w:style>
  <w:style w:type="paragraph" w:styleId="Antrat1">
    <w:name w:val="heading 1"/>
    <w:basedOn w:val="prastasis"/>
    <w:next w:val="prastasis"/>
    <w:uiPriority w:val="9"/>
    <w:qFormat/>
    <w:rsid w:val="092ADA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uiPriority w:val="9"/>
    <w:unhideWhenUsed/>
    <w:qFormat/>
    <w:rsid w:val="092ADAC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uiPriority w:val="9"/>
    <w:unhideWhenUsed/>
    <w:qFormat/>
    <w:rsid w:val="092ADAC3"/>
    <w:pPr>
      <w:keepNext/>
      <w:keepLines/>
      <w:spacing w:before="40"/>
      <w:outlineLvl w:val="2"/>
    </w:pPr>
    <w:rPr>
      <w:rFonts w:asciiTheme="majorHAnsi" w:eastAsiaTheme="majorEastAsia" w:hAnsiTheme="majorHAnsi" w:cstheme="majorBidi"/>
      <w:color w:val="1F4D78"/>
      <w:sz w:val="24"/>
      <w:szCs w:val="24"/>
    </w:rPr>
  </w:style>
  <w:style w:type="paragraph" w:styleId="Antrat4">
    <w:name w:val="heading 4"/>
    <w:basedOn w:val="prastasis"/>
    <w:next w:val="prastasis"/>
    <w:uiPriority w:val="9"/>
    <w:unhideWhenUsed/>
    <w:qFormat/>
    <w:rsid w:val="092ADAC3"/>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uiPriority w:val="9"/>
    <w:unhideWhenUsed/>
    <w:qFormat/>
    <w:rsid w:val="092ADAC3"/>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uiPriority w:val="9"/>
    <w:unhideWhenUsed/>
    <w:qFormat/>
    <w:rsid w:val="092ADAC3"/>
    <w:pPr>
      <w:keepNext/>
      <w:keepLines/>
      <w:spacing w:before="40"/>
      <w:outlineLvl w:val="5"/>
    </w:pPr>
    <w:rPr>
      <w:rFonts w:asciiTheme="majorHAnsi" w:eastAsiaTheme="majorEastAsia" w:hAnsiTheme="majorHAnsi" w:cstheme="majorBidi"/>
      <w:color w:val="1F4D78"/>
    </w:rPr>
  </w:style>
  <w:style w:type="paragraph" w:styleId="Antrat7">
    <w:name w:val="heading 7"/>
    <w:basedOn w:val="prastasis"/>
    <w:next w:val="prastasis"/>
    <w:uiPriority w:val="9"/>
    <w:unhideWhenUsed/>
    <w:qFormat/>
    <w:rsid w:val="092ADAC3"/>
    <w:pPr>
      <w:keepNext/>
      <w:keepLines/>
      <w:spacing w:before="40"/>
      <w:outlineLvl w:val="6"/>
    </w:pPr>
    <w:rPr>
      <w:rFonts w:asciiTheme="majorHAnsi" w:eastAsiaTheme="majorEastAsia" w:hAnsiTheme="majorHAnsi" w:cstheme="majorBidi"/>
      <w:i/>
      <w:iCs/>
      <w:color w:val="1F4D78"/>
    </w:rPr>
  </w:style>
  <w:style w:type="paragraph" w:styleId="Antrat8">
    <w:name w:val="heading 8"/>
    <w:basedOn w:val="prastasis"/>
    <w:next w:val="prastasis"/>
    <w:uiPriority w:val="9"/>
    <w:unhideWhenUsed/>
    <w:qFormat/>
    <w:rsid w:val="092ADAC3"/>
    <w:pPr>
      <w:keepNext/>
      <w:keepLines/>
      <w:spacing w:before="40"/>
      <w:outlineLvl w:val="7"/>
    </w:pPr>
    <w:rPr>
      <w:rFonts w:asciiTheme="majorHAnsi" w:eastAsiaTheme="majorEastAsia" w:hAnsiTheme="majorHAnsi" w:cstheme="majorBidi"/>
      <w:color w:val="272727"/>
      <w:sz w:val="21"/>
      <w:szCs w:val="21"/>
    </w:rPr>
  </w:style>
  <w:style w:type="paragraph" w:styleId="Antrat9">
    <w:name w:val="heading 9"/>
    <w:basedOn w:val="prastasis"/>
    <w:next w:val="prastasis"/>
    <w:uiPriority w:val="9"/>
    <w:unhideWhenUsed/>
    <w:qFormat/>
    <w:rsid w:val="092ADAC3"/>
    <w:pPr>
      <w:keepNext/>
      <w:keepLines/>
      <w:spacing w:before="40"/>
      <w:outlineLvl w:val="8"/>
    </w:pPr>
    <w:rPr>
      <w:rFonts w:asciiTheme="majorHAnsi" w:eastAsiaTheme="majorEastAsia" w:hAnsiTheme="majorHAnsi" w:cstheme="majorBidi"/>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92ADAC3"/>
    <w:pPr>
      <w:tabs>
        <w:tab w:val="center" w:pos="4513"/>
        <w:tab w:val="right" w:pos="9026"/>
      </w:tabs>
    </w:pPr>
  </w:style>
  <w:style w:type="character" w:customStyle="1" w:styleId="AntratsDiagrama">
    <w:name w:val="Antraštės Diagrama"/>
    <w:basedOn w:val="Numatytasispastraiposriftas"/>
    <w:link w:val="Antrats"/>
    <w:uiPriority w:val="99"/>
    <w:rsid w:val="005F380F"/>
  </w:style>
  <w:style w:type="paragraph" w:styleId="Porat">
    <w:name w:val="footer"/>
    <w:basedOn w:val="prastasis"/>
    <w:link w:val="PoratDiagrama"/>
    <w:uiPriority w:val="99"/>
    <w:unhideWhenUsed/>
    <w:rsid w:val="092ADAC3"/>
    <w:pPr>
      <w:tabs>
        <w:tab w:val="center" w:pos="4513"/>
        <w:tab w:val="right" w:pos="9026"/>
      </w:tabs>
    </w:pPr>
  </w:style>
  <w:style w:type="character" w:customStyle="1" w:styleId="PoratDiagrama">
    <w:name w:val="Poraštė Diagrama"/>
    <w:basedOn w:val="Numatytasispastraiposriftas"/>
    <w:link w:val="Porat"/>
    <w:uiPriority w:val="99"/>
    <w:rsid w:val="005F380F"/>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92ADAC3"/>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qFormat/>
    <w:rsid w:val="00314C78"/>
    <w:rPr>
      <w:sz w:val="20"/>
      <w:szCs w:val="20"/>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
    <w:basedOn w:val="Numatytasispastraiposriftas"/>
    <w:link w:val="FootnotesymbolCarZchn"/>
    <w:uiPriority w:val="99"/>
    <w:unhideWhenUsed/>
    <w:qFormat/>
    <w:rsid w:val="00314C78"/>
    <w:rPr>
      <w:vertAlign w:val="superscript"/>
    </w:rPr>
  </w:style>
  <w:style w:type="table" w:styleId="Lentelstinklelis">
    <w:name w:val="Table Grid"/>
    <w:basedOn w:val="prastojilentel"/>
    <w:uiPriority w:val="39"/>
    <w:rsid w:val="00AD7909"/>
    <w:pPr>
      <w:spacing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D7909"/>
    <w:pPr>
      <w:spacing w:line="240" w:lineRule="auto"/>
    </w:pPr>
    <w:rPr>
      <w:rFonts w:eastAsiaTheme="minorEastAsia"/>
      <w:sz w:val="21"/>
      <w:szCs w:val="21"/>
    </w:rPr>
  </w:style>
  <w:style w:type="character" w:customStyle="1" w:styleId="BetarpDiagrama">
    <w:name w:val="Be tarpų Diagrama"/>
    <w:basedOn w:val="Numatytasispastraiposriftas"/>
    <w:link w:val="Betarp"/>
    <w:uiPriority w:val="1"/>
    <w:rsid w:val="00AD7909"/>
    <w:rPr>
      <w:rFonts w:eastAsiaTheme="minorEastAsia"/>
      <w:sz w:val="21"/>
      <w:szCs w:val="21"/>
    </w:rPr>
  </w:style>
  <w:style w:type="paragraph" w:styleId="Debesliotekstas">
    <w:name w:val="Balloon Text"/>
    <w:basedOn w:val="prastasis"/>
    <w:link w:val="DebesliotekstasDiagrama"/>
    <w:uiPriority w:val="99"/>
    <w:semiHidden/>
    <w:unhideWhenUsed/>
    <w:rsid w:val="092ADAC3"/>
    <w:rPr>
      <w:rFonts w:ascii="Segoe UI" w:eastAsiaTheme="minorEastAsia"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5AB1"/>
    <w:rPr>
      <w:rFonts w:ascii="Segoe UI" w:hAnsi="Segoe UI" w:cs="Segoe UI"/>
      <w:sz w:val="18"/>
      <w:szCs w:val="18"/>
    </w:rPr>
  </w:style>
  <w:style w:type="paragraph" w:styleId="Pagrindinistekstas">
    <w:name w:val="Body Text"/>
    <w:basedOn w:val="prastasis"/>
    <w:link w:val="PagrindinistekstasDiagrama"/>
    <w:uiPriority w:val="1"/>
    <w:unhideWhenUsed/>
    <w:rsid w:val="092ADAC3"/>
    <w:pPr>
      <w:spacing w:after="120"/>
    </w:pPr>
    <w:rPr>
      <w:rFonts w:eastAsiaTheme="minorEastAsia"/>
      <w:sz w:val="21"/>
      <w:szCs w:val="21"/>
      <w:lang w:eastAsia="ja-JP"/>
    </w:rPr>
  </w:style>
  <w:style w:type="character" w:customStyle="1" w:styleId="PagrindinistekstasDiagrama">
    <w:name w:val="Pagrindinis tekstas Diagrama"/>
    <w:basedOn w:val="Numatytasispastraiposriftas"/>
    <w:link w:val="Pagrindinistekstas"/>
    <w:rsid w:val="003D173F"/>
    <w:rPr>
      <w:rFonts w:eastAsiaTheme="minorEastAsia"/>
      <w:sz w:val="21"/>
      <w:szCs w:val="21"/>
      <w:lang w:eastAsia="ja-JP"/>
    </w:rPr>
  </w:style>
  <w:style w:type="character" w:styleId="Grietas">
    <w:name w:val="Strong"/>
    <w:basedOn w:val="Numatytasispastraiposriftas"/>
    <w:qFormat/>
    <w:rsid w:val="003D173F"/>
    <w:rPr>
      <w:b/>
      <w:bCs/>
    </w:rPr>
  </w:style>
  <w:style w:type="paragraph" w:styleId="Sraopastraipa">
    <w:name w:val="List Paragraph"/>
    <w:basedOn w:val="prastasis"/>
    <w:uiPriority w:val="34"/>
    <w:qFormat/>
    <w:rsid w:val="092ADAC3"/>
    <w:pPr>
      <w:ind w:left="720"/>
      <w:contextualSpacing/>
    </w:pPr>
  </w:style>
  <w:style w:type="character" w:styleId="Komentaronuoroda">
    <w:name w:val="annotation reference"/>
    <w:basedOn w:val="Numatytasispastraiposriftas"/>
    <w:uiPriority w:val="99"/>
    <w:semiHidden/>
    <w:unhideWhenUsed/>
    <w:rsid w:val="00A658B8"/>
    <w:rPr>
      <w:sz w:val="16"/>
      <w:szCs w:val="16"/>
    </w:rPr>
  </w:style>
  <w:style w:type="paragraph" w:styleId="Komentarotekstas">
    <w:name w:val="annotation text"/>
    <w:basedOn w:val="prastasis"/>
    <w:link w:val="KomentarotekstasDiagrama"/>
    <w:uiPriority w:val="99"/>
    <w:unhideWhenUsed/>
    <w:rsid w:val="092ADAC3"/>
    <w:rPr>
      <w:sz w:val="20"/>
      <w:szCs w:val="20"/>
    </w:rPr>
  </w:style>
  <w:style w:type="character" w:customStyle="1" w:styleId="KomentarotekstasDiagrama">
    <w:name w:val="Komentaro tekstas Diagrama"/>
    <w:basedOn w:val="Numatytasispastraiposriftas"/>
    <w:link w:val="Komentarotekstas"/>
    <w:uiPriority w:val="99"/>
    <w:rsid w:val="00A658B8"/>
    <w:rPr>
      <w:sz w:val="20"/>
      <w:szCs w:val="20"/>
    </w:rPr>
  </w:style>
  <w:style w:type="paragraph" w:styleId="Komentarotema">
    <w:name w:val="annotation subject"/>
    <w:basedOn w:val="Komentarotekstas"/>
    <w:next w:val="Komentarotekstas"/>
    <w:link w:val="KomentarotemaDiagrama"/>
    <w:uiPriority w:val="99"/>
    <w:semiHidden/>
    <w:unhideWhenUsed/>
    <w:rsid w:val="00A658B8"/>
    <w:rPr>
      <w:b/>
      <w:bCs/>
    </w:rPr>
  </w:style>
  <w:style w:type="character" w:customStyle="1" w:styleId="KomentarotemaDiagrama">
    <w:name w:val="Komentaro tema Diagrama"/>
    <w:basedOn w:val="KomentarotekstasDiagrama"/>
    <w:link w:val="Komentarotema"/>
    <w:uiPriority w:val="99"/>
    <w:semiHidden/>
    <w:rsid w:val="00A658B8"/>
    <w:rPr>
      <w:b/>
      <w:bCs/>
      <w:sz w:val="20"/>
      <w:szCs w:val="20"/>
    </w:rPr>
  </w:style>
  <w:style w:type="paragraph" w:styleId="Pataisymai">
    <w:name w:val="Revision"/>
    <w:hidden/>
    <w:uiPriority w:val="99"/>
    <w:semiHidden/>
    <w:rsid w:val="00DB4239"/>
    <w:pPr>
      <w:spacing w:line="240" w:lineRule="auto"/>
    </w:pPr>
  </w:style>
  <w:style w:type="paragraph" w:styleId="Pavadinimas">
    <w:name w:val="Title"/>
    <w:basedOn w:val="prastasis"/>
    <w:next w:val="prastasis"/>
    <w:uiPriority w:val="10"/>
    <w:qFormat/>
    <w:rsid w:val="092ADAC3"/>
    <w:pPr>
      <w:contextualSpacing/>
    </w:pPr>
    <w:rPr>
      <w:rFonts w:asciiTheme="majorHAnsi" w:eastAsiaTheme="majorEastAsia" w:hAnsiTheme="majorHAnsi" w:cstheme="majorBidi"/>
      <w:sz w:val="56"/>
      <w:szCs w:val="56"/>
    </w:rPr>
  </w:style>
  <w:style w:type="paragraph" w:styleId="Paantrat">
    <w:name w:val="Subtitle"/>
    <w:basedOn w:val="prastasis"/>
    <w:next w:val="prastasis"/>
    <w:uiPriority w:val="11"/>
    <w:qFormat/>
    <w:rsid w:val="092ADAC3"/>
    <w:rPr>
      <w:rFonts w:eastAsiaTheme="minorEastAsia"/>
      <w:color w:val="5A5A5A"/>
    </w:rPr>
  </w:style>
  <w:style w:type="paragraph" w:styleId="Citata">
    <w:name w:val="Quote"/>
    <w:basedOn w:val="prastasis"/>
    <w:next w:val="prastasis"/>
    <w:uiPriority w:val="29"/>
    <w:qFormat/>
    <w:rsid w:val="092ADAC3"/>
    <w:pPr>
      <w:spacing w:before="200"/>
      <w:ind w:left="864" w:right="864"/>
      <w:jc w:val="center"/>
    </w:pPr>
    <w:rPr>
      <w:i/>
      <w:iCs/>
      <w:color w:val="404040" w:themeColor="text1" w:themeTint="BF"/>
    </w:rPr>
  </w:style>
  <w:style w:type="paragraph" w:styleId="Iskirtacitata">
    <w:name w:val="Intense Quote"/>
    <w:basedOn w:val="prastasis"/>
    <w:next w:val="prastasis"/>
    <w:uiPriority w:val="30"/>
    <w:qFormat/>
    <w:rsid w:val="092ADAC3"/>
    <w:pPr>
      <w:spacing w:before="360" w:after="360"/>
      <w:ind w:left="864" w:right="864"/>
      <w:jc w:val="center"/>
    </w:pPr>
    <w:rPr>
      <w:i/>
      <w:iCs/>
      <w:color w:val="5B9BD5" w:themeColor="accent1"/>
    </w:rPr>
  </w:style>
  <w:style w:type="paragraph" w:styleId="Turinys1">
    <w:name w:val="toc 1"/>
    <w:basedOn w:val="prastasis"/>
    <w:next w:val="prastasis"/>
    <w:uiPriority w:val="39"/>
    <w:unhideWhenUsed/>
    <w:rsid w:val="092ADAC3"/>
    <w:pPr>
      <w:spacing w:after="100"/>
    </w:pPr>
  </w:style>
  <w:style w:type="paragraph" w:styleId="Turinys2">
    <w:name w:val="toc 2"/>
    <w:basedOn w:val="prastasis"/>
    <w:next w:val="prastasis"/>
    <w:uiPriority w:val="39"/>
    <w:unhideWhenUsed/>
    <w:rsid w:val="092ADAC3"/>
    <w:pPr>
      <w:spacing w:after="100"/>
      <w:ind w:left="220"/>
    </w:pPr>
  </w:style>
  <w:style w:type="paragraph" w:styleId="Turinys3">
    <w:name w:val="toc 3"/>
    <w:basedOn w:val="prastasis"/>
    <w:next w:val="prastasis"/>
    <w:uiPriority w:val="39"/>
    <w:unhideWhenUsed/>
    <w:rsid w:val="092ADAC3"/>
    <w:pPr>
      <w:spacing w:after="100"/>
      <w:ind w:left="440"/>
    </w:pPr>
  </w:style>
  <w:style w:type="paragraph" w:styleId="Turinys4">
    <w:name w:val="toc 4"/>
    <w:basedOn w:val="prastasis"/>
    <w:next w:val="prastasis"/>
    <w:uiPriority w:val="39"/>
    <w:unhideWhenUsed/>
    <w:rsid w:val="092ADAC3"/>
    <w:pPr>
      <w:spacing w:after="100"/>
      <w:ind w:left="660"/>
    </w:pPr>
  </w:style>
  <w:style w:type="paragraph" w:styleId="Turinys5">
    <w:name w:val="toc 5"/>
    <w:basedOn w:val="prastasis"/>
    <w:next w:val="prastasis"/>
    <w:uiPriority w:val="39"/>
    <w:unhideWhenUsed/>
    <w:rsid w:val="092ADAC3"/>
    <w:pPr>
      <w:spacing w:after="100"/>
      <w:ind w:left="880"/>
    </w:pPr>
  </w:style>
  <w:style w:type="paragraph" w:styleId="Turinys6">
    <w:name w:val="toc 6"/>
    <w:basedOn w:val="prastasis"/>
    <w:next w:val="prastasis"/>
    <w:uiPriority w:val="39"/>
    <w:unhideWhenUsed/>
    <w:rsid w:val="092ADAC3"/>
    <w:pPr>
      <w:spacing w:after="100"/>
      <w:ind w:left="1100"/>
    </w:pPr>
  </w:style>
  <w:style w:type="paragraph" w:styleId="Turinys7">
    <w:name w:val="toc 7"/>
    <w:basedOn w:val="prastasis"/>
    <w:next w:val="prastasis"/>
    <w:uiPriority w:val="39"/>
    <w:unhideWhenUsed/>
    <w:rsid w:val="092ADAC3"/>
    <w:pPr>
      <w:spacing w:after="100"/>
      <w:ind w:left="1320"/>
    </w:pPr>
  </w:style>
  <w:style w:type="paragraph" w:styleId="Turinys8">
    <w:name w:val="toc 8"/>
    <w:basedOn w:val="prastasis"/>
    <w:next w:val="prastasis"/>
    <w:uiPriority w:val="39"/>
    <w:unhideWhenUsed/>
    <w:rsid w:val="092ADAC3"/>
    <w:pPr>
      <w:spacing w:after="100"/>
      <w:ind w:left="1540"/>
    </w:pPr>
  </w:style>
  <w:style w:type="paragraph" w:styleId="Turinys9">
    <w:name w:val="toc 9"/>
    <w:basedOn w:val="prastasis"/>
    <w:next w:val="prastasis"/>
    <w:uiPriority w:val="39"/>
    <w:unhideWhenUsed/>
    <w:rsid w:val="092ADAC3"/>
    <w:pPr>
      <w:spacing w:after="100"/>
      <w:ind w:left="1760"/>
    </w:pPr>
  </w:style>
  <w:style w:type="paragraph" w:styleId="Dokumentoinaostekstas">
    <w:name w:val="endnote text"/>
    <w:basedOn w:val="prastasis"/>
    <w:uiPriority w:val="99"/>
    <w:semiHidden/>
    <w:unhideWhenUsed/>
    <w:rsid w:val="092ADAC3"/>
    <w:rPr>
      <w:sz w:val="20"/>
      <w:szCs w:val="20"/>
    </w:rPr>
  </w:style>
  <w:style w:type="paragraph" w:customStyle="1" w:styleId="paragraph">
    <w:name w:val="paragraph"/>
    <w:basedOn w:val="prastasis"/>
    <w:rsid w:val="008231F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231F5"/>
  </w:style>
  <w:style w:type="character" w:customStyle="1" w:styleId="eop">
    <w:name w:val="eop"/>
    <w:basedOn w:val="Numatytasispastraiposriftas"/>
    <w:rsid w:val="008231F5"/>
  </w:style>
  <w:style w:type="paragraph" w:customStyle="1" w:styleId="nospacingabove">
    <w:name w:val="nospacingabove"/>
    <w:basedOn w:val="prastasis"/>
    <w:rsid w:val="005730C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izemediumplus">
    <w:name w:val="fontsizemediumplus"/>
    <w:basedOn w:val="Numatytasispastraiposriftas"/>
    <w:rsid w:val="005730C5"/>
  </w:style>
  <w:style w:type="character" w:styleId="Hipersaitas">
    <w:name w:val="Hyperlink"/>
    <w:basedOn w:val="Numatytasispastraiposriftas"/>
    <w:uiPriority w:val="99"/>
    <w:unhideWhenUsed/>
    <w:rsid w:val="0029430F"/>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B95E23"/>
    <w:pPr>
      <w:spacing w:after="160" w:line="240" w:lineRule="exact"/>
      <w:jc w:val="both"/>
    </w:pPr>
    <w:rPr>
      <w:vertAlign w:val="superscript"/>
    </w:rPr>
  </w:style>
  <w:style w:type="character" w:styleId="Dokumentoinaosnumeris">
    <w:name w:val="endnote reference"/>
    <w:basedOn w:val="Numatytasispastraiposriftas"/>
    <w:uiPriority w:val="99"/>
    <w:semiHidden/>
    <w:unhideWhenUsed/>
    <w:rsid w:val="005A43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8478">
      <w:bodyDiv w:val="1"/>
      <w:marLeft w:val="0"/>
      <w:marRight w:val="0"/>
      <w:marTop w:val="0"/>
      <w:marBottom w:val="0"/>
      <w:divBdr>
        <w:top w:val="none" w:sz="0" w:space="0" w:color="auto"/>
        <w:left w:val="none" w:sz="0" w:space="0" w:color="auto"/>
        <w:bottom w:val="none" w:sz="0" w:space="0" w:color="auto"/>
        <w:right w:val="none" w:sz="0" w:space="0" w:color="auto"/>
      </w:divBdr>
      <w:divsChild>
        <w:div w:id="17854440">
          <w:marLeft w:val="0"/>
          <w:marRight w:val="0"/>
          <w:marTop w:val="0"/>
          <w:marBottom w:val="0"/>
          <w:divBdr>
            <w:top w:val="none" w:sz="0" w:space="0" w:color="auto"/>
            <w:left w:val="none" w:sz="0" w:space="0" w:color="auto"/>
            <w:bottom w:val="none" w:sz="0" w:space="0" w:color="auto"/>
            <w:right w:val="none" w:sz="0" w:space="0" w:color="auto"/>
          </w:divBdr>
        </w:div>
        <w:div w:id="1051729931">
          <w:marLeft w:val="0"/>
          <w:marRight w:val="0"/>
          <w:marTop w:val="0"/>
          <w:marBottom w:val="0"/>
          <w:divBdr>
            <w:top w:val="none" w:sz="0" w:space="0" w:color="auto"/>
            <w:left w:val="none" w:sz="0" w:space="0" w:color="auto"/>
            <w:bottom w:val="none" w:sz="0" w:space="0" w:color="auto"/>
            <w:right w:val="none" w:sz="0" w:space="0" w:color="auto"/>
          </w:divBdr>
        </w:div>
        <w:div w:id="1749034366">
          <w:marLeft w:val="0"/>
          <w:marRight w:val="0"/>
          <w:marTop w:val="0"/>
          <w:marBottom w:val="0"/>
          <w:divBdr>
            <w:top w:val="none" w:sz="0" w:space="0" w:color="auto"/>
            <w:left w:val="none" w:sz="0" w:space="0" w:color="auto"/>
            <w:bottom w:val="none" w:sz="0" w:space="0" w:color="auto"/>
            <w:right w:val="none" w:sz="0" w:space="0" w:color="auto"/>
          </w:divBdr>
        </w:div>
        <w:div w:id="1880627877">
          <w:marLeft w:val="0"/>
          <w:marRight w:val="0"/>
          <w:marTop w:val="0"/>
          <w:marBottom w:val="0"/>
          <w:divBdr>
            <w:top w:val="none" w:sz="0" w:space="0" w:color="auto"/>
            <w:left w:val="none" w:sz="0" w:space="0" w:color="auto"/>
            <w:bottom w:val="none" w:sz="0" w:space="0" w:color="auto"/>
            <w:right w:val="none" w:sz="0" w:space="0" w:color="auto"/>
          </w:divBdr>
        </w:div>
        <w:div w:id="686298309">
          <w:marLeft w:val="0"/>
          <w:marRight w:val="0"/>
          <w:marTop w:val="0"/>
          <w:marBottom w:val="0"/>
          <w:divBdr>
            <w:top w:val="none" w:sz="0" w:space="0" w:color="auto"/>
            <w:left w:val="none" w:sz="0" w:space="0" w:color="auto"/>
            <w:bottom w:val="none" w:sz="0" w:space="0" w:color="auto"/>
            <w:right w:val="none" w:sz="0" w:space="0" w:color="auto"/>
          </w:divBdr>
        </w:div>
      </w:divsChild>
    </w:div>
    <w:div w:id="163525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header3.xml"
                 Type="http://schemas.openxmlformats.org/officeDocument/2006/relationships/header"/>
   <Relationship Id="rId17" Target="header4.xml"
                 Type="http://schemas.openxmlformats.org/officeDocument/2006/relationships/header"/>
   <Relationship Id="rId18" Target="footer3.xml"
                 Type="http://schemas.openxmlformats.org/officeDocument/2006/relationships/footer"/>
   <Relationship Id="rId19" Target="media/image2.png"
                 Type="http://schemas.openxmlformats.org/officeDocument/2006/relationships/image"/>
   <Relationship Id="rId2" Target="../customXml/item2.xml"
                 Type="http://schemas.openxmlformats.org/officeDocument/2006/relationships/customXml"/>
   <Relationship Id="rId20"
                 Target="https://vpt.lrv.lt/lt/statistika-ir-analize/pirkimu-vykdytoju-zemelapis-svieslente-1/"
                 TargetMode="External"
                 Type="http://schemas.openxmlformats.org/officeDocument/2006/relationships/hyperlink"/>
   <Relationship Id="rId21"
                 Target="https://vpt.lrv.lt/lt/statistika-ir-analize/pirkimu-vykdytoju-zemelapis-svieslente-1/"
                 TargetMode="External"
                 Type="http://schemas.openxmlformats.org/officeDocument/2006/relationships/hyperlink"/>
   <Relationship Id="rId22" Target="header5.xml"
                 Type="http://schemas.openxmlformats.org/officeDocument/2006/relationships/header"/>
   <Relationship Id="rId23" Target="header6.xml"
                 Type="http://schemas.openxmlformats.org/officeDocument/2006/relationships/header"/>
   <Relationship Id="rId24" Target="footer4.xml"
                 Type="http://schemas.openxmlformats.org/officeDocument/2006/relationships/footer"/>
   <Relationship Id="rId25" Target="fontTable.xml"
                 Type="http://schemas.openxmlformats.org/officeDocument/2006/relationships/fontTable"/>
   <Relationship Id="rId26"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463e1c-9a80-45b6-a732-f1ddb2c8f97f" xsi:nil="true"/>
    <lcf76f155ced4ddcb4097134ff3c332f xmlns="2d4c2475-e028-4226-be6e-8734f67f0b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06FF2A0F91704D9C3C1EDBE192D15F" ma:contentTypeVersion="16" ma:contentTypeDescription="Create a new document." ma:contentTypeScope="" ma:versionID="9cda4d31a093e9954fd65070de843f0f">
  <xsd:schema xmlns:xsd="http://www.w3.org/2001/XMLSchema" xmlns:xs="http://www.w3.org/2001/XMLSchema" xmlns:p="http://schemas.microsoft.com/office/2006/metadata/properties" xmlns:ns2="2d4c2475-e028-4226-be6e-8734f67f0be4" xmlns:ns3="9a463e1c-9a80-45b6-a732-f1ddb2c8f97f" targetNamespace="http://schemas.microsoft.com/office/2006/metadata/properties" ma:root="true" ma:fieldsID="69b3c21425554f64080e330dbb1800f0" ns2:_="" ns3:_="">
    <xsd:import namespace="2d4c2475-e028-4226-be6e-8734f67f0be4"/>
    <xsd:import namespace="9a463e1c-9a80-45b6-a732-f1ddb2c8f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c2475-e028-4226-be6e-8734f67f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63e1c-9a80-45b6-a732-f1ddb2c8f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18591a7-8fef-4606-8847-5330fc349c11}" ma:internalName="TaxCatchAll" ma:showField="CatchAllData" ma:web="9a463e1c-9a80-45b6-a732-f1ddb2c8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5629C-138B-4ED2-B73A-602AAF13BB85}">
  <ds:schemaRefs>
    <ds:schemaRef ds:uri="http://schemas.openxmlformats.org/officeDocument/2006/bibliography"/>
  </ds:schemaRefs>
</ds:datastoreItem>
</file>

<file path=customXml/itemProps2.xml><?xml version="1.0" encoding="utf-8"?>
<ds:datastoreItem xmlns:ds="http://schemas.openxmlformats.org/officeDocument/2006/customXml" ds:itemID="{72BEC50D-F57C-4525-B72D-C3F388B0554B}">
  <ds:schemaRefs>
    <ds:schemaRef ds:uri="http://schemas.microsoft.com/office/2006/metadata/properties"/>
    <ds:schemaRef ds:uri="http://schemas.microsoft.com/office/infopath/2007/PartnerControls"/>
    <ds:schemaRef ds:uri="9a463e1c-9a80-45b6-a732-f1ddb2c8f97f"/>
    <ds:schemaRef ds:uri="2d4c2475-e028-4226-be6e-8734f67f0be4"/>
  </ds:schemaRefs>
</ds:datastoreItem>
</file>

<file path=customXml/itemProps3.xml><?xml version="1.0" encoding="utf-8"?>
<ds:datastoreItem xmlns:ds="http://schemas.openxmlformats.org/officeDocument/2006/customXml" ds:itemID="{ABBAEE9F-FF19-4F80-B039-3F82B21AD811}">
  <ds:schemaRefs>
    <ds:schemaRef ds:uri="http://schemas.microsoft.com/sharepoint/v3/contenttype/forms"/>
  </ds:schemaRefs>
</ds:datastoreItem>
</file>

<file path=customXml/itemProps4.xml><?xml version="1.0" encoding="utf-8"?>
<ds:datastoreItem xmlns:ds="http://schemas.openxmlformats.org/officeDocument/2006/customXml" ds:itemID="{3B1BAE0C-D54E-4062-82F2-14D179B32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c2475-e028-4226-be6e-8734f67f0be4"/>
    <ds:schemaRef ds:uri="9a463e1c-9a80-45b6-a732-f1ddb2c8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17</Pages>
  <Words>22578</Words>
  <Characters>12870</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2026-02-24T09:05:00Z</dcterms:created>
  <dc:creator>Giedrius Griška</dc:creator>
  <cp:lastModifiedBy>Rasa Dilytė</cp:lastModifiedBy>
  <dcterms:modified xsi:type="dcterms:W3CDTF">2026-03-04T07:25:00Z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0x010100DA06FF2A0F91704D9C3C1EDBE192D15F</vt:lpwstr>
  </property>
  <property fmtid="{D5CDD505-2E9C-101B-9397-08002B2CF9AE}" pid="3" name="MediaServiceImageTags">
    <vt:lpwstr/>
  </property>
</Properties>
</file>